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FFFFFF" w:sz="4"/>
              <w:left w:val="single" w:color="FFFFFF" w:sz="4"/>
              <w:bottom w:val="single" w:color="FFFFFF" w:sz="4"/>
              <w:right w:val="single" w:color="FFFFFF" w:sz="4"/>
            </w:tcBorders>
            <w:tcMar>
              <w:top w:type="dxa" w:w="0"/>
              <w:bottom w:type="dxa" w:w="0"/>
            </w:tcMar>
          </w:tcPr>
          <w:p>
            <w:pPr>
              <w:spacing w:after="60"/>
              <w:jc w:val="center"/>
            </w:pPr>
            <w:r>
              <w:rPr>
                <w:rFonts w:ascii="Calibri" w:cs="Calibri" w:eastAsia="Calibri" w:hAnsi="Calibri"/>
                <w:b/>
                <w:bCs/>
                <w:color w:val="0B4F3C"/>
                <w:sz w:val="44"/>
                <w:szCs w:val="44"/>
              </w:rPr>
              <w:t xml:space="preserve">KERALAFIRST</w:t>
            </w:r>
            <w:r>
              <w:rPr>
                <w:rFonts w:ascii="Calibri" w:cs="Calibri" w:eastAsia="Calibri" w:hAnsi="Calibri"/>
                <w:b/>
                <w:bCs/>
                <w:color w:val="B08D2E"/>
                <w:sz w:val="44"/>
                <w:szCs w:val="44"/>
              </w:rPr>
              <w:t xml:space="preserve">.CO.IN</w:t>
            </w:r>
          </w:p>
          <w:p>
            <w:pPr>
              <w:spacing w:after="400"/>
              <w:jc w:val="center"/>
            </w:pPr>
            <w:r>
              <w:rPr>
                <w:rFonts w:ascii="Calibri" w:cs="Calibri" w:eastAsia="Calibri" w:hAnsi="Calibri"/>
                <w:color w:val="5B6763"/>
                <w:sz w:val="16"/>
                <w:szCs w:val="16"/>
              </w:rPr>
              <w:t xml:space="preserve">P O L I C Y   ·   U R B A N   S T R A T E G Y   ·   I N F R A S T R U C T U R E</w:t>
            </w:r>
          </w:p>
        </w:tc>
      </w:tr>
    </w:tbl>
    <w:p>
      <w:pPr>
        <w:spacing w:after="260"/>
      </w:pPr>
    </w:p>
    <w:p>
      <w:pPr>
        <w:spacing w:after="120"/>
        <w:jc w:val="center"/>
      </w:pPr>
      <w:r>
        <w:rPr>
          <w:rFonts w:ascii="Calibri" w:cs="Calibri" w:eastAsia="Calibri" w:hAnsi="Calibri"/>
          <w:b/>
          <w:bCs/>
          <w:color w:val="B08D2E"/>
          <w:sz w:val="22"/>
          <w:szCs w:val="22"/>
        </w:rPr>
        <w:t xml:space="preserve">A KERALAFIRST RESEARCH REPORT</w:t>
      </w:r>
    </w:p>
    <w:p>
      <w:pPr>
        <w:spacing w:after="40"/>
        <w:jc w:val="center"/>
      </w:pPr>
      <w:r>
        <w:rPr>
          <w:rFonts w:ascii="Calibri" w:cs="Calibri" w:eastAsia="Calibri" w:hAnsi="Calibri"/>
          <w:b/>
          <w:bCs/>
          <w:color w:val="0B4F3C"/>
          <w:sz w:val="40"/>
          <w:szCs w:val="40"/>
        </w:rPr>
        <w:t xml:space="preserve">MASTER STRATEGIC REPORT</w:t>
      </w:r>
    </w:p>
    <w:p>
      <w:pPr>
        <w:spacing w:after="40"/>
        <w:jc w:val="center"/>
      </w:pPr>
      <w:r>
        <w:rPr>
          <w:rFonts w:ascii="Georgia" w:cs="Georgia" w:eastAsia="Georgia" w:hAnsi="Georgia"/>
          <w:b/>
          <w:bCs/>
          <w:color w:val="1F2421"/>
          <w:sz w:val="34"/>
          <w:szCs w:val="34"/>
        </w:rPr>
        <w:t xml:space="preserve">THE KOCHI METROPOLITAN TRANSIT GRID</w:t>
      </w:r>
    </w:p>
    <w:p>
      <w:pPr>
        <w:spacing w:after="360"/>
        <w:jc w:val="center"/>
      </w:pPr>
      <w:r>
        <w:rPr>
          <w:rFonts w:ascii="Georgia" w:cs="Georgia" w:eastAsia="Georgia" w:hAnsi="Georgia"/>
          <w:i/>
          <w:iCs/>
          <w:color w:val="146C4F"/>
          <w:sz w:val="26"/>
          <w:szCs w:val="26"/>
        </w:rPr>
        <w:t xml:space="preserve">&amp; Outer Ring Road (ORR) Development Blueprint  ·  2026–2047</w:t>
      </w:r>
    </w:p>
    <w:p>
      <w:pPr>
        <w:spacing w:after="500"/>
        <w:jc w:val="center"/>
      </w:pPr>
      <w:r>
        <w:rPr>
          <w:rFonts w:ascii="Calibri" w:cs="Calibri" w:eastAsia="Calibri" w:hAnsi="Calibri"/>
          <w:color w:val="B08D2E"/>
          <w:sz w:val="16"/>
          <w:szCs w:val="16"/>
        </w:rPr>
        <w:t xml:space="preserv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800"/>
        <w:gridCol w:w="6550"/>
      </w:tblGrid>
      <w:tr>
        <w:tc>
          <w:tcPr>
            <w:tcW w:type="dxa" w:w="2800"/>
            <w:tcBorders>
              <w:top w:val="single" w:color="FFFFFF" w:sz="4"/>
              <w:left w:val="single" w:color="FFFFFF" w:sz="4"/>
              <w:bottom w:val="single" w:color="FFFFFF" w:sz="4"/>
              <w:right w:val="single" w:color="FFFFFF" w:sz="4"/>
            </w:tcBorders>
            <w:shd w:fill="0B4F3C" w:val="clear"/>
            <w:tcMar>
              <w:top w:type="dxa" w:w="100"/>
              <w:left w:type="dxa" w:w="160"/>
              <w:bottom w:type="dxa" w:w="100"/>
              <w:right w:type="dxa" w:w="120"/>
            </w:tcMar>
          </w:tcPr>
          <w:p>
            <w:r>
              <w:rPr>
                <w:rFonts w:ascii="Calibri" w:cs="Calibri" w:eastAsia="Calibri" w:hAnsi="Calibri"/>
                <w:b/>
                <w:bCs/>
                <w:color w:val="FFFFFF"/>
                <w:sz w:val="15"/>
                <w:szCs w:val="15"/>
              </w:rPr>
              <w:t xml:space="preserve">DOCUMENT CLASSIFICATION</w:t>
            </w:r>
          </w:p>
        </w:tc>
        <w:tc>
          <w:tcPr>
            <w:tcW w:type="dxa" w:w="6550"/>
            <w:tcBorders>
              <w:top w:val="single" w:color="C9D2CD" w:sz="4"/>
              <w:left w:val="single" w:color="C9D2CD" w:sz="4"/>
              <w:bottom w:val="single" w:color="C9D2CD" w:sz="4"/>
              <w:right w:val="single" w:color="C9D2CD" w:sz="4"/>
            </w:tcBorders>
            <w:shd w:fill="EAF3EF" w:val="clear"/>
            <w:tcMar>
              <w:top w:type="dxa" w:w="100"/>
              <w:left w:type="dxa" w:w="160"/>
              <w:bottom w:type="dxa" w:w="100"/>
              <w:right w:type="dxa" w:w="160"/>
            </w:tcMar>
          </w:tcPr>
          <w:p>
            <w:r>
              <w:rPr>
                <w:rFonts w:ascii="Calibri" w:cs="Calibri" w:eastAsia="Calibri" w:hAnsi="Calibri"/>
                <w:color w:val="1F2421"/>
                <w:sz w:val="18"/>
                <w:szCs w:val="18"/>
              </w:rPr>
              <w:t xml:space="preserve">Policy Masterclass, Spatial Strategy &amp; Financial Execution Blueprint</w:t>
            </w:r>
          </w:p>
        </w:tc>
      </w:tr>
      <w:tr>
        <w:tc>
          <w:tcPr>
            <w:tcW w:type="dxa" w:w="2800"/>
            <w:tcBorders>
              <w:top w:val="single" w:color="FFFFFF" w:sz="4"/>
              <w:left w:val="single" w:color="FFFFFF" w:sz="4"/>
              <w:bottom w:val="single" w:color="FFFFFF" w:sz="4"/>
              <w:right w:val="single" w:color="FFFFFF" w:sz="4"/>
            </w:tcBorders>
            <w:shd w:fill="0B4F3C" w:val="clear"/>
            <w:tcMar>
              <w:top w:type="dxa" w:w="100"/>
              <w:left w:type="dxa" w:w="160"/>
              <w:bottom w:type="dxa" w:w="100"/>
              <w:right w:type="dxa" w:w="120"/>
            </w:tcMar>
          </w:tcPr>
          <w:p>
            <w:r>
              <w:rPr>
                <w:rFonts w:ascii="Calibri" w:cs="Calibri" w:eastAsia="Calibri" w:hAnsi="Calibri"/>
                <w:b/>
                <w:bCs/>
                <w:color w:val="FFFFFF"/>
                <w:sz w:val="15"/>
                <w:szCs w:val="15"/>
              </w:rPr>
              <w:t xml:space="preserve">TARGET AUDIENCE</w:t>
            </w:r>
          </w:p>
        </w:tc>
        <w:tc>
          <w:tcPr>
            <w:tcW w:type="dxa" w:w="6550"/>
            <w:tcBorders>
              <w:top w:val="single" w:color="C9D2CD" w:sz="4"/>
              <w:left w:val="single" w:color="C9D2CD" w:sz="4"/>
              <w:bottom w:val="single" w:color="C9D2CD" w:sz="4"/>
              <w:right w:val="single" w:color="C9D2CD" w:sz="4"/>
            </w:tcBorders>
            <w:shd w:fill="FFFFFF" w:val="clear"/>
            <w:tcMar>
              <w:top w:type="dxa" w:w="100"/>
              <w:left w:type="dxa" w:w="160"/>
              <w:bottom w:type="dxa" w:w="100"/>
              <w:right w:type="dxa" w:w="160"/>
            </w:tcMar>
          </w:tcPr>
          <w:p>
            <w:r>
              <w:rPr>
                <w:rFonts w:ascii="Calibri" w:cs="Calibri" w:eastAsia="Calibri" w:hAnsi="Calibri"/>
                <w:color w:val="1F2421"/>
                <w:sz w:val="18"/>
                <w:szCs w:val="18"/>
              </w:rPr>
              <w:t xml:space="preserve">Council of Ministers (Govt. of Kerala), Chief Town Planner, Finance Department, NHAI, K-GBA Planning Cell &amp; Global Institutional Investors</w:t>
            </w:r>
          </w:p>
        </w:tc>
      </w:tr>
      <w:tr>
        <w:tc>
          <w:tcPr>
            <w:tcW w:type="dxa" w:w="2800"/>
            <w:tcBorders>
              <w:top w:val="single" w:color="FFFFFF" w:sz="4"/>
              <w:left w:val="single" w:color="FFFFFF" w:sz="4"/>
              <w:bottom w:val="single" w:color="FFFFFF" w:sz="4"/>
              <w:right w:val="single" w:color="FFFFFF" w:sz="4"/>
            </w:tcBorders>
            <w:shd w:fill="0B4F3C" w:val="clear"/>
            <w:tcMar>
              <w:top w:type="dxa" w:w="100"/>
              <w:left w:type="dxa" w:w="160"/>
              <w:bottom w:type="dxa" w:w="100"/>
              <w:right w:type="dxa" w:w="120"/>
            </w:tcMar>
          </w:tcPr>
          <w:p>
            <w:r>
              <w:rPr>
                <w:rFonts w:ascii="Calibri" w:cs="Calibri" w:eastAsia="Calibri" w:hAnsi="Calibri"/>
                <w:b/>
                <w:bCs/>
                <w:color w:val="FFFFFF"/>
                <w:sz w:val="15"/>
                <w:szCs w:val="15"/>
              </w:rPr>
              <w:t xml:space="preserve">STATUTORY ANCHOR</w:t>
            </w:r>
          </w:p>
        </w:tc>
        <w:tc>
          <w:tcPr>
            <w:tcW w:type="dxa" w:w="6550"/>
            <w:tcBorders>
              <w:top w:val="single" w:color="C9D2CD" w:sz="4"/>
              <w:left w:val="single" w:color="C9D2CD" w:sz="4"/>
              <w:bottom w:val="single" w:color="C9D2CD" w:sz="4"/>
              <w:right w:val="single" w:color="C9D2CD" w:sz="4"/>
            </w:tcBorders>
            <w:shd w:fill="EAF3EF" w:val="clear"/>
            <w:tcMar>
              <w:top w:type="dxa" w:w="100"/>
              <w:left w:type="dxa" w:w="160"/>
              <w:bottom w:type="dxa" w:w="100"/>
              <w:right w:type="dxa" w:w="160"/>
            </w:tcMar>
          </w:tcPr>
          <w:p>
            <w:r>
              <w:rPr>
                <w:rFonts w:ascii="Calibri" w:cs="Calibri" w:eastAsia="Calibri" w:hAnsi="Calibri"/>
                <w:color w:val="1F2421"/>
                <w:sz w:val="18"/>
                <w:szCs w:val="18"/>
              </w:rPr>
              <w:t xml:space="preserve">Section 3(a) Notification, National Highways Act, 1956 — 12-Month Section 3(D) Clock Active</w:t>
            </w:r>
          </w:p>
        </w:tc>
      </w:tr>
      <w:tr>
        <w:tc>
          <w:tcPr>
            <w:tcW w:type="dxa" w:w="2800"/>
            <w:tcBorders>
              <w:top w:val="single" w:color="FFFFFF" w:sz="4"/>
              <w:left w:val="single" w:color="FFFFFF" w:sz="4"/>
              <w:bottom w:val="single" w:color="FFFFFF" w:sz="4"/>
              <w:right w:val="single" w:color="FFFFFF" w:sz="4"/>
            </w:tcBorders>
            <w:shd w:fill="0B4F3C" w:val="clear"/>
            <w:tcMar>
              <w:top w:type="dxa" w:w="100"/>
              <w:left w:type="dxa" w:w="160"/>
              <w:bottom w:type="dxa" w:w="100"/>
              <w:right w:type="dxa" w:w="120"/>
            </w:tcMar>
          </w:tcPr>
          <w:p>
            <w:r>
              <w:rPr>
                <w:rFonts w:ascii="Calibri" w:cs="Calibri" w:eastAsia="Calibri" w:hAnsi="Calibri"/>
                <w:b/>
                <w:bCs/>
                <w:color w:val="FFFFFF"/>
                <w:sz w:val="15"/>
                <w:szCs w:val="15"/>
              </w:rPr>
              <w:t xml:space="preserve">PROJECT FOOTPRINT</w:t>
            </w:r>
          </w:p>
        </w:tc>
        <w:tc>
          <w:tcPr>
            <w:tcW w:type="dxa" w:w="6550"/>
            <w:tcBorders>
              <w:top w:val="single" w:color="C9D2CD" w:sz="4"/>
              <w:left w:val="single" w:color="C9D2CD" w:sz="4"/>
              <w:bottom w:val="single" w:color="C9D2CD" w:sz="4"/>
              <w:right w:val="single" w:color="C9D2CD" w:sz="4"/>
            </w:tcBorders>
            <w:shd w:fill="FFFFFF" w:val="clear"/>
            <w:tcMar>
              <w:top w:type="dxa" w:w="100"/>
              <w:left w:type="dxa" w:w="160"/>
              <w:bottom w:type="dxa" w:w="100"/>
              <w:right w:type="dxa" w:w="160"/>
            </w:tcMar>
          </w:tcPr>
          <w:p>
            <w:r>
              <w:rPr>
                <w:rFonts w:ascii="Calibri" w:cs="Calibri" w:eastAsia="Calibri" w:hAnsi="Calibri"/>
                <w:color w:val="1F2421"/>
                <w:sz w:val="18"/>
                <w:szCs w:val="18"/>
              </w:rPr>
              <w:t xml:space="preserve">8-Lane Controlled-Access Corridor, Karayamparambu (NH-544) – Aroor (NH-66)  |  363.73 Ha (898.8 Acres) Core Acquisition</w:t>
            </w:r>
          </w:p>
        </w:tc>
      </w:tr>
      <w:tr>
        <w:tc>
          <w:tcPr>
            <w:tcW w:type="dxa" w:w="2800"/>
            <w:tcBorders>
              <w:top w:val="single" w:color="FFFFFF" w:sz="4"/>
              <w:left w:val="single" w:color="FFFFFF" w:sz="4"/>
              <w:bottom w:val="single" w:color="FFFFFF" w:sz="4"/>
              <w:right w:val="single" w:color="FFFFFF" w:sz="4"/>
            </w:tcBorders>
            <w:shd w:fill="0B4F3C" w:val="clear"/>
            <w:tcMar>
              <w:top w:type="dxa" w:w="100"/>
              <w:left w:type="dxa" w:w="160"/>
              <w:bottom w:type="dxa" w:w="100"/>
              <w:right w:type="dxa" w:w="120"/>
            </w:tcMar>
          </w:tcPr>
          <w:p>
            <w:r>
              <w:rPr>
                <w:rFonts w:ascii="Calibri" w:cs="Calibri" w:eastAsia="Calibri" w:hAnsi="Calibri"/>
                <w:b/>
                <w:bCs/>
                <w:color w:val="FFFFFF"/>
                <w:sz w:val="15"/>
                <w:szCs w:val="15"/>
              </w:rPr>
              <w:t xml:space="preserve">FINANCIAL BASELINE</w:t>
            </w:r>
          </w:p>
        </w:tc>
        <w:tc>
          <w:tcPr>
            <w:tcW w:type="dxa" w:w="6550"/>
            <w:tcBorders>
              <w:top w:val="single" w:color="C9D2CD" w:sz="4"/>
              <w:left w:val="single" w:color="C9D2CD" w:sz="4"/>
              <w:bottom w:val="single" w:color="C9D2CD" w:sz="4"/>
              <w:right w:val="single" w:color="C9D2CD" w:sz="4"/>
            </w:tcBorders>
            <w:shd w:fill="EAF3EF" w:val="clear"/>
            <w:tcMar>
              <w:top w:type="dxa" w:w="100"/>
              <w:left w:type="dxa" w:w="160"/>
              <w:bottom w:type="dxa" w:w="100"/>
              <w:right w:type="dxa" w:w="160"/>
            </w:tcMar>
          </w:tcPr>
          <w:p>
            <w:r>
              <w:rPr>
                <w:rFonts w:ascii="Calibri" w:cs="Calibri" w:eastAsia="Calibri" w:hAnsi="Calibri"/>
                <w:color w:val="1F2421"/>
                <w:sz w:val="18"/>
                <w:szCs w:val="18"/>
              </w:rPr>
              <w:t xml:space="preserve">₹6,935.60 Crore Sanctioned Project Cost  |  Off-Balance-Sheet Value-Capture Framework</w:t>
            </w:r>
          </w:p>
        </w:tc>
      </w:tr>
      <w:tr>
        <w:tc>
          <w:tcPr>
            <w:tcW w:type="dxa" w:w="2800"/>
            <w:tcBorders>
              <w:top w:val="single" w:color="FFFFFF" w:sz="4"/>
              <w:left w:val="single" w:color="FFFFFF" w:sz="4"/>
              <w:bottom w:val="single" w:color="FFFFFF" w:sz="4"/>
              <w:right w:val="single" w:color="FFFFFF" w:sz="4"/>
            </w:tcBorders>
            <w:shd w:fill="0B4F3C" w:val="clear"/>
            <w:tcMar>
              <w:top w:type="dxa" w:w="100"/>
              <w:left w:type="dxa" w:w="160"/>
              <w:bottom w:type="dxa" w:w="100"/>
              <w:right w:type="dxa" w:w="120"/>
            </w:tcMar>
          </w:tcPr>
          <w:p>
            <w:r>
              <w:rPr>
                <w:rFonts w:ascii="Calibri" w:cs="Calibri" w:eastAsia="Calibri" w:hAnsi="Calibri"/>
                <w:b/>
                <w:bCs/>
                <w:color w:val="FFFFFF"/>
                <w:sz w:val="15"/>
                <w:szCs w:val="15"/>
              </w:rPr>
              <w:t xml:space="preserve">REPORT HORIZON</w:t>
            </w:r>
          </w:p>
        </w:tc>
        <w:tc>
          <w:tcPr>
            <w:tcW w:type="dxa" w:w="6550"/>
            <w:tcBorders>
              <w:top w:val="single" w:color="C9D2CD" w:sz="4"/>
              <w:left w:val="single" w:color="C9D2CD" w:sz="4"/>
              <w:bottom w:val="single" w:color="C9D2CD" w:sz="4"/>
              <w:right w:val="single" w:color="C9D2CD" w:sz="4"/>
            </w:tcBorders>
            <w:shd w:fill="FFFFFF" w:val="clear"/>
            <w:tcMar>
              <w:top w:type="dxa" w:w="100"/>
              <w:left w:type="dxa" w:w="160"/>
              <w:bottom w:type="dxa" w:w="100"/>
              <w:right w:type="dxa" w:w="160"/>
            </w:tcMar>
          </w:tcPr>
          <w:p>
            <w:r>
              <w:rPr>
                <w:rFonts w:ascii="Calibri" w:cs="Calibri" w:eastAsia="Calibri" w:hAnsi="Calibri"/>
                <w:color w:val="1F2421"/>
                <w:sz w:val="18"/>
                <w:szCs w:val="18"/>
              </w:rPr>
              <w:t xml:space="preserve">2026–2047 (21-Year Metropolitan Build-Out Cycle)</w:t>
            </w:r>
          </w:p>
        </w:tc>
      </w:tr>
      <w:tr>
        <w:tc>
          <w:tcPr>
            <w:tcW w:type="dxa" w:w="2800"/>
            <w:tcBorders>
              <w:top w:val="single" w:color="FFFFFF" w:sz="4"/>
              <w:left w:val="single" w:color="FFFFFF" w:sz="4"/>
              <w:bottom w:val="single" w:color="FFFFFF" w:sz="4"/>
              <w:right w:val="single" w:color="FFFFFF" w:sz="4"/>
            </w:tcBorders>
            <w:shd w:fill="0B4F3C" w:val="clear"/>
            <w:tcMar>
              <w:top w:type="dxa" w:w="100"/>
              <w:left w:type="dxa" w:w="160"/>
              <w:bottom w:type="dxa" w:w="100"/>
              <w:right w:type="dxa" w:w="120"/>
            </w:tcMar>
          </w:tcPr>
          <w:p>
            <w:r>
              <w:rPr>
                <w:rFonts w:ascii="Calibri" w:cs="Calibri" w:eastAsia="Calibri" w:hAnsi="Calibri"/>
                <w:b/>
                <w:bCs/>
                <w:color w:val="FFFFFF"/>
                <w:sz w:val="15"/>
                <w:szCs w:val="15"/>
              </w:rPr>
              <w:t xml:space="preserve">DATE OF ISSUE</w:t>
            </w:r>
          </w:p>
        </w:tc>
        <w:tc>
          <w:tcPr>
            <w:tcW w:type="dxa" w:w="6550"/>
            <w:tcBorders>
              <w:top w:val="single" w:color="C9D2CD" w:sz="4"/>
              <w:left w:val="single" w:color="C9D2CD" w:sz="4"/>
              <w:bottom w:val="single" w:color="C9D2CD" w:sz="4"/>
              <w:right w:val="single" w:color="C9D2CD" w:sz="4"/>
            </w:tcBorders>
            <w:shd w:fill="EAF3EF" w:val="clear"/>
            <w:tcMar>
              <w:top w:type="dxa" w:w="100"/>
              <w:left w:type="dxa" w:w="160"/>
              <w:bottom w:type="dxa" w:w="100"/>
              <w:right w:type="dxa" w:w="160"/>
            </w:tcMar>
          </w:tcPr>
          <w:p>
            <w:r>
              <w:rPr>
                <w:rFonts w:ascii="Calibri" w:cs="Calibri" w:eastAsia="Calibri" w:hAnsi="Calibri"/>
                <w:color w:val="1F2421"/>
                <w:sz w:val="18"/>
                <w:szCs w:val="18"/>
              </w:rPr>
              <w:t xml:space="preserve">August 2026</w:t>
            </w:r>
          </w:p>
        </w:tc>
      </w:tr>
      <w:tr>
        <w:tc>
          <w:tcPr>
            <w:tcW w:type="dxa" w:w="2800"/>
            <w:tcBorders>
              <w:top w:val="single" w:color="FFFFFF" w:sz="4"/>
              <w:left w:val="single" w:color="FFFFFF" w:sz="4"/>
              <w:bottom w:val="single" w:color="FFFFFF" w:sz="4"/>
              <w:right w:val="single" w:color="FFFFFF" w:sz="4"/>
            </w:tcBorders>
            <w:shd w:fill="0B4F3C" w:val="clear"/>
            <w:tcMar>
              <w:top w:type="dxa" w:w="100"/>
              <w:left w:type="dxa" w:w="160"/>
              <w:bottom w:type="dxa" w:w="100"/>
              <w:right w:type="dxa" w:w="120"/>
            </w:tcMar>
          </w:tcPr>
          <w:p>
            <w:r>
              <w:rPr>
                <w:rFonts w:ascii="Calibri" w:cs="Calibri" w:eastAsia="Calibri" w:hAnsi="Calibri"/>
                <w:b/>
                <w:bCs/>
                <w:color w:val="FFFFFF"/>
                <w:sz w:val="15"/>
                <w:szCs w:val="15"/>
              </w:rPr>
              <w:t xml:space="preserve">PREPARED BY</w:t>
            </w:r>
          </w:p>
        </w:tc>
        <w:tc>
          <w:tcPr>
            <w:tcW w:type="dxa" w:w="6550"/>
            <w:tcBorders>
              <w:top w:val="single" w:color="C9D2CD" w:sz="4"/>
              <w:left w:val="single" w:color="C9D2CD" w:sz="4"/>
              <w:bottom w:val="single" w:color="C9D2CD" w:sz="4"/>
              <w:right w:val="single" w:color="C9D2CD" w:sz="4"/>
            </w:tcBorders>
            <w:shd w:fill="FFFFFF" w:val="clear"/>
            <w:tcMar>
              <w:top w:type="dxa" w:w="100"/>
              <w:left w:type="dxa" w:w="160"/>
              <w:bottom w:type="dxa" w:w="100"/>
              <w:right w:type="dxa" w:w="160"/>
            </w:tcMar>
          </w:tcPr>
          <w:p>
            <w:r>
              <w:rPr>
                <w:rFonts w:ascii="Calibri" w:cs="Calibri" w:eastAsia="Calibri" w:hAnsi="Calibri"/>
                <w:color w:val="1F2421"/>
                <w:sz w:val="18"/>
                <w:szCs w:val="18"/>
              </w:rPr>
              <w:t xml:space="preserve">KeralaFirst Research Desk  ·  keralafirst.co.in</w:t>
            </w:r>
          </w:p>
        </w:tc>
      </w:tr>
    </w:tbl>
    <w:p>
      <w:r>
        <w:br w:type="page"/>
      </w:r>
    </w:p>
    <w:p>
      <w:pPr>
        <w:pStyle w:val="Heading1"/>
        <w:pBdr>
          <w:bottom w:val="single" w:color="B08D2E" w:sz="12" w:space="6"/>
        </w:pBdr>
        <w:spacing w:after="300"/>
      </w:pPr>
      <w:r>
        <w:rPr>
          <w:rFonts w:ascii="Calibri" w:cs="Calibri" w:eastAsia="Calibri" w:hAnsi="Calibri"/>
          <w:b/>
          <w:bCs/>
          <w:color w:val="0B4F3C"/>
          <w:sz w:val="30"/>
          <w:szCs w:val="30"/>
        </w:rPr>
        <w:t xml:space="preserve">TABLE OF CONTENTS</w:t>
      </w:r>
    </w:p>
    <w:tbl>
      <w:tblPr>
        <w:tblW w:type="dxa" w:w="8650"/>
        <w:tblBorders>
          <w:top w:val="single" w:color="auto" w:sz="4"/>
          <w:left w:val="single" w:color="auto" w:sz="4"/>
          <w:bottom w:val="single" w:color="auto" w:sz="4"/>
          <w:right w:val="single" w:color="auto" w:sz="4"/>
          <w:insideH w:val="single" w:color="auto" w:sz="4"/>
          <w:insideV w:val="single" w:color="auto" w:sz="4"/>
        </w:tblBorders>
      </w:tblPr>
      <w:tblGrid>
        <w:gridCol w:w="7350"/>
        <w:gridCol w:w="1300"/>
      </w:tblGrid>
      <w:tr>
        <w:tc>
          <w:tcPr>
            <w:tcW w:type="dxa" w:w="7350"/>
            <w:tcBorders>
              <w:top w:val="single" w:color="FFFFFF" w:sz="4"/>
              <w:left w:val="single" w:color="FFFFFF" w:sz="4"/>
              <w:bottom w:val="single" w:color="FFFFFF" w:sz="4"/>
              <w:right w:val="single" w:color="FFFFFF" w:sz="4"/>
            </w:tcBorders>
            <w:shd w:fill="EAF3EF" w:val="clear"/>
            <w:tcMar>
              <w:top w:type="dxa" w:w="110"/>
              <w:left w:type="dxa" w:w="160"/>
              <w:bottom w:type="dxa" w:w="110"/>
              <w:right w:type="dxa" w:w="120"/>
            </w:tcMar>
          </w:tcPr>
          <w:p>
            <w:r>
              <w:rPr>
                <w:rFonts w:ascii="Calibri" w:cs="Calibri" w:eastAsia="Calibri" w:hAnsi="Calibri"/>
                <w:b/>
                <w:bCs/>
                <w:color w:val="1F2421"/>
                <w:sz w:val="20"/>
                <w:szCs w:val="20"/>
              </w:rPr>
              <w:t xml:space="preserve">Executive Summary &amp; The Macroeconomic Paradox</w:t>
            </w:r>
          </w:p>
        </w:tc>
        <w:tc>
          <w:tcPr>
            <w:tcW w:type="dxa" w:w="1300"/>
            <w:tcBorders>
              <w:top w:val="single" w:color="FFFFFF" w:sz="4"/>
              <w:left w:val="single" w:color="FFFFFF" w:sz="4"/>
              <w:bottom w:val="single" w:color="FFFFFF" w:sz="4"/>
              <w:right w:val="single" w:color="FFFFFF" w:sz="4"/>
            </w:tcBorders>
            <w:shd w:fill="EAF3EF" w:val="clear"/>
            <w:tcMar>
              <w:top w:type="dxa" w:w="110"/>
              <w:left w:type="dxa" w:w="120"/>
              <w:bottom w:type="dxa" w:w="110"/>
              <w:right w:type="dxa" w:w="160"/>
            </w:tcMar>
            <w:vAlign w:val="center"/>
          </w:tcPr>
          <w:p>
            <w:pPr>
              <w:jc w:val="right"/>
            </w:pPr>
            <w:r>
              <w:rPr>
                <w:rFonts w:ascii="Calibri" w:cs="Calibri" w:eastAsia="Calibri" w:hAnsi="Calibri"/>
                <w:b/>
                <w:bCs/>
                <w:color w:val="B08D2E"/>
                <w:sz w:val="20"/>
                <w:szCs w:val="20"/>
              </w:rPr>
              <w:t xml:space="preserve">3</w:t>
            </w:r>
          </w:p>
        </w:tc>
      </w:tr>
      <w:tr>
        <w:tc>
          <w:tcPr>
            <w:tcW w:type="dxa" w:w="7350"/>
            <w:tcBorders>
              <w:top w:val="single" w:color="FFFFFF" w:sz="4"/>
              <w:left w:val="single" w:color="FFFFFF" w:sz="4"/>
              <w:bottom w:val="single" w:color="FFFFFF" w:sz="4"/>
              <w:right w:val="single" w:color="FFFFFF" w:sz="4"/>
            </w:tcBorders>
            <w:shd w:fill="FFFFFF" w:val="clear"/>
            <w:tcMar>
              <w:top w:type="dxa" w:w="110"/>
              <w:left w:type="dxa" w:w="160"/>
              <w:bottom w:type="dxa" w:w="110"/>
              <w:right w:type="dxa" w:w="120"/>
            </w:tcMar>
          </w:tcPr>
          <w:p>
            <w:r>
              <w:rPr>
                <w:rFonts w:ascii="Calibri" w:cs="Calibri" w:eastAsia="Calibri" w:hAnsi="Calibri"/>
                <w:b/>
                <w:bCs/>
                <w:color w:val="0B4F3C"/>
                <w:sz w:val="20"/>
                <w:szCs w:val="20"/>
              </w:rPr>
              <w:t xml:space="preserve">Section 1 — Spatial &amp; Ecological Baseline Audit (Ernakulam District)</w:t>
            </w:r>
          </w:p>
        </w:tc>
        <w:tc>
          <w:tcPr>
            <w:tcW w:type="dxa" w:w="1300"/>
            <w:tcBorders>
              <w:top w:val="single" w:color="FFFFFF" w:sz="4"/>
              <w:left w:val="single" w:color="FFFFFF" w:sz="4"/>
              <w:bottom w:val="single" w:color="FFFFFF" w:sz="4"/>
              <w:right w:val="single" w:color="FFFFFF" w:sz="4"/>
            </w:tcBorders>
            <w:shd w:fill="FFFFFF" w:val="clear"/>
            <w:tcMar>
              <w:top w:type="dxa" w:w="110"/>
              <w:left w:type="dxa" w:w="120"/>
              <w:bottom w:type="dxa" w:w="110"/>
              <w:right w:type="dxa" w:w="160"/>
            </w:tcMar>
            <w:vAlign w:val="center"/>
          </w:tcPr>
          <w:p>
            <w:pPr>
              <w:jc w:val="right"/>
            </w:pPr>
            <w:r>
              <w:rPr>
                <w:rFonts w:ascii="Calibri" w:cs="Calibri" w:eastAsia="Calibri" w:hAnsi="Calibri"/>
                <w:b/>
                <w:bCs/>
                <w:color w:val="B08D2E"/>
                <w:sz w:val="20"/>
                <w:szCs w:val="20"/>
              </w:rPr>
              <w:t xml:space="preserve">5</w:t>
            </w:r>
          </w:p>
        </w:tc>
      </w:tr>
      <w:tr>
        <w:tc>
          <w:tcPr>
            <w:tcW w:type="dxa" w:w="7350"/>
            <w:tcBorders>
              <w:top w:val="single" w:color="FFFFFF" w:sz="4"/>
              <w:left w:val="single" w:color="FFFFFF" w:sz="4"/>
              <w:bottom w:val="single" w:color="FFFFFF" w:sz="4"/>
              <w:right w:val="single" w:color="FFFFFF" w:sz="4"/>
            </w:tcBorders>
            <w:shd w:fill="EAF3EF" w:val="clear"/>
            <w:tcMar>
              <w:top w:type="dxa" w:w="110"/>
              <w:left w:type="dxa" w:w="160"/>
              <w:bottom w:type="dxa" w:w="110"/>
              <w:right w:type="dxa" w:w="120"/>
            </w:tcMar>
          </w:tcPr>
          <w:p>
            <w:r>
              <w:rPr>
                <w:rFonts w:ascii="Calibri" w:cs="Calibri" w:eastAsia="Calibri" w:hAnsi="Calibri"/>
                <w:b/>
                <w:bCs/>
                <w:color w:val="0B4F3C"/>
                <w:sz w:val="20"/>
                <w:szCs w:val="20"/>
              </w:rPr>
              <w:t xml:space="preserve">Section 2 — The 180-Degree Semi-Circular ORR Architecture</w:t>
            </w:r>
          </w:p>
        </w:tc>
        <w:tc>
          <w:tcPr>
            <w:tcW w:type="dxa" w:w="1300"/>
            <w:tcBorders>
              <w:top w:val="single" w:color="FFFFFF" w:sz="4"/>
              <w:left w:val="single" w:color="FFFFFF" w:sz="4"/>
              <w:bottom w:val="single" w:color="FFFFFF" w:sz="4"/>
              <w:right w:val="single" w:color="FFFFFF" w:sz="4"/>
            </w:tcBorders>
            <w:shd w:fill="EAF3EF" w:val="clear"/>
            <w:tcMar>
              <w:top w:type="dxa" w:w="110"/>
              <w:left w:type="dxa" w:w="120"/>
              <w:bottom w:type="dxa" w:w="110"/>
              <w:right w:type="dxa" w:w="160"/>
            </w:tcMar>
            <w:vAlign w:val="center"/>
          </w:tcPr>
          <w:p>
            <w:pPr>
              <w:jc w:val="right"/>
            </w:pPr>
            <w:r>
              <w:rPr>
                <w:rFonts w:ascii="Calibri" w:cs="Calibri" w:eastAsia="Calibri" w:hAnsi="Calibri"/>
                <w:b/>
                <w:bCs/>
                <w:color w:val="B08D2E"/>
                <w:sz w:val="20"/>
                <w:szCs w:val="20"/>
              </w:rPr>
              <w:t xml:space="preserve">6</w:t>
            </w:r>
          </w:p>
        </w:tc>
      </w:tr>
      <w:tr>
        <w:tc>
          <w:tcPr>
            <w:tcW w:type="dxa" w:w="7350"/>
            <w:tcBorders>
              <w:top w:val="single" w:color="FFFFFF" w:sz="4"/>
              <w:left w:val="single" w:color="FFFFFF" w:sz="4"/>
              <w:bottom w:val="single" w:color="FFFFFF" w:sz="4"/>
              <w:right w:val="single" w:color="FFFFFF" w:sz="4"/>
            </w:tcBorders>
            <w:shd w:fill="FFFFFF" w:val="clear"/>
            <w:tcMar>
              <w:top w:type="dxa" w:w="110"/>
              <w:left w:type="dxa" w:w="160"/>
              <w:bottom w:type="dxa" w:w="110"/>
              <w:right w:type="dxa" w:w="120"/>
            </w:tcMar>
          </w:tcPr>
          <w:p>
            <w:r>
              <w:rPr>
                <w:rFonts w:ascii="Calibri" w:cs="Calibri" w:eastAsia="Calibri" w:hAnsi="Calibri"/>
                <w:b/>
                <w:bCs/>
                <w:color w:val="0B4F3C"/>
                <w:sz w:val="20"/>
                <w:szCs w:val="20"/>
              </w:rPr>
              <w:t xml:space="preserve">Section 3 — Grade-Separated Interchange Architecture</w:t>
            </w:r>
          </w:p>
        </w:tc>
        <w:tc>
          <w:tcPr>
            <w:tcW w:type="dxa" w:w="1300"/>
            <w:tcBorders>
              <w:top w:val="single" w:color="FFFFFF" w:sz="4"/>
              <w:left w:val="single" w:color="FFFFFF" w:sz="4"/>
              <w:bottom w:val="single" w:color="FFFFFF" w:sz="4"/>
              <w:right w:val="single" w:color="FFFFFF" w:sz="4"/>
            </w:tcBorders>
            <w:shd w:fill="FFFFFF" w:val="clear"/>
            <w:tcMar>
              <w:top w:type="dxa" w:w="110"/>
              <w:left w:type="dxa" w:w="120"/>
              <w:bottom w:type="dxa" w:w="110"/>
              <w:right w:type="dxa" w:w="160"/>
            </w:tcMar>
            <w:vAlign w:val="center"/>
          </w:tcPr>
          <w:p>
            <w:pPr>
              <w:jc w:val="right"/>
            </w:pPr>
            <w:r>
              <w:rPr>
                <w:rFonts w:ascii="Calibri" w:cs="Calibri" w:eastAsia="Calibri" w:hAnsi="Calibri"/>
                <w:b/>
                <w:bCs/>
                <w:color w:val="B08D2E"/>
                <w:sz w:val="20"/>
                <w:szCs w:val="20"/>
              </w:rPr>
              <w:t xml:space="preserve">7</w:t>
            </w:r>
          </w:p>
        </w:tc>
      </w:tr>
      <w:tr>
        <w:tc>
          <w:tcPr>
            <w:tcW w:type="dxa" w:w="7350"/>
            <w:tcBorders>
              <w:top w:val="single" w:color="FFFFFF" w:sz="4"/>
              <w:left w:val="single" w:color="FFFFFF" w:sz="4"/>
              <w:bottom w:val="single" w:color="FFFFFF" w:sz="4"/>
              <w:right w:val="single" w:color="FFFFFF" w:sz="4"/>
            </w:tcBorders>
            <w:shd w:fill="EAF3EF" w:val="clear"/>
            <w:tcMar>
              <w:top w:type="dxa" w:w="110"/>
              <w:left w:type="dxa" w:w="160"/>
              <w:bottom w:type="dxa" w:w="110"/>
              <w:right w:type="dxa" w:w="120"/>
            </w:tcMar>
          </w:tcPr>
          <w:p>
            <w:r>
              <w:rPr>
                <w:rFonts w:ascii="Calibri" w:cs="Calibri" w:eastAsia="Calibri" w:hAnsi="Calibri"/>
                <w:b/>
                <w:bCs/>
                <w:color w:val="0B4F3C"/>
                <w:sz w:val="20"/>
                <w:szCs w:val="20"/>
              </w:rPr>
              <w:t xml:space="preserve">Section 4 — Granular GIS Buffer &amp; Segment Pipeline Analysis</w:t>
            </w:r>
          </w:p>
        </w:tc>
        <w:tc>
          <w:tcPr>
            <w:tcW w:type="dxa" w:w="1300"/>
            <w:tcBorders>
              <w:top w:val="single" w:color="FFFFFF" w:sz="4"/>
              <w:left w:val="single" w:color="FFFFFF" w:sz="4"/>
              <w:bottom w:val="single" w:color="FFFFFF" w:sz="4"/>
              <w:right w:val="single" w:color="FFFFFF" w:sz="4"/>
            </w:tcBorders>
            <w:shd w:fill="EAF3EF" w:val="clear"/>
            <w:tcMar>
              <w:top w:type="dxa" w:w="110"/>
              <w:left w:type="dxa" w:w="120"/>
              <w:bottom w:type="dxa" w:w="110"/>
              <w:right w:type="dxa" w:w="160"/>
            </w:tcMar>
            <w:vAlign w:val="center"/>
          </w:tcPr>
          <w:p>
            <w:pPr>
              <w:jc w:val="right"/>
            </w:pPr>
            <w:r>
              <w:rPr>
                <w:rFonts w:ascii="Calibri" w:cs="Calibri" w:eastAsia="Calibri" w:hAnsi="Calibri"/>
                <w:b/>
                <w:bCs/>
                <w:color w:val="B08D2E"/>
                <w:sz w:val="20"/>
                <w:szCs w:val="20"/>
              </w:rPr>
              <w:t xml:space="preserve">8</w:t>
            </w:r>
          </w:p>
        </w:tc>
      </w:tr>
      <w:tr>
        <w:tc>
          <w:tcPr>
            <w:tcW w:type="dxa" w:w="7350"/>
            <w:tcBorders>
              <w:top w:val="single" w:color="FFFFFF" w:sz="4"/>
              <w:left w:val="single" w:color="FFFFFF" w:sz="4"/>
              <w:bottom w:val="single" w:color="FFFFFF" w:sz="4"/>
              <w:right w:val="single" w:color="FFFFFF" w:sz="4"/>
            </w:tcBorders>
            <w:shd w:fill="FFFFFF" w:val="clear"/>
            <w:tcMar>
              <w:top w:type="dxa" w:w="110"/>
              <w:left w:type="dxa" w:w="160"/>
              <w:bottom w:type="dxa" w:w="110"/>
              <w:right w:type="dxa" w:w="120"/>
            </w:tcMar>
          </w:tcPr>
          <w:p>
            <w:r>
              <w:rPr>
                <w:rFonts w:ascii="Calibri" w:cs="Calibri" w:eastAsia="Calibri" w:hAnsi="Calibri"/>
                <w:b/>
                <w:bCs/>
                <w:color w:val="0B4F3C"/>
                <w:sz w:val="20"/>
                <w:szCs w:val="20"/>
              </w:rPr>
              <w:t xml:space="preserve">Section 5 — Citizen-Equity Land Pooling Mechanics &amp; TOD Zoning</w:t>
            </w:r>
          </w:p>
        </w:tc>
        <w:tc>
          <w:tcPr>
            <w:tcW w:type="dxa" w:w="1300"/>
            <w:tcBorders>
              <w:top w:val="single" w:color="FFFFFF" w:sz="4"/>
              <w:left w:val="single" w:color="FFFFFF" w:sz="4"/>
              <w:bottom w:val="single" w:color="FFFFFF" w:sz="4"/>
              <w:right w:val="single" w:color="FFFFFF" w:sz="4"/>
            </w:tcBorders>
            <w:shd w:fill="FFFFFF" w:val="clear"/>
            <w:tcMar>
              <w:top w:type="dxa" w:w="110"/>
              <w:left w:type="dxa" w:w="120"/>
              <w:bottom w:type="dxa" w:w="110"/>
              <w:right w:type="dxa" w:w="160"/>
            </w:tcMar>
            <w:vAlign w:val="center"/>
          </w:tcPr>
          <w:p>
            <w:pPr>
              <w:jc w:val="right"/>
            </w:pPr>
            <w:r>
              <w:rPr>
                <w:rFonts w:ascii="Calibri" w:cs="Calibri" w:eastAsia="Calibri" w:hAnsi="Calibri"/>
                <w:b/>
                <w:bCs/>
                <w:color w:val="B08D2E"/>
                <w:sz w:val="20"/>
                <w:szCs w:val="20"/>
              </w:rPr>
              <w:t xml:space="preserve">10</w:t>
            </w:r>
          </w:p>
        </w:tc>
      </w:tr>
      <w:tr>
        <w:tc>
          <w:tcPr>
            <w:tcW w:type="dxa" w:w="7350"/>
            <w:tcBorders>
              <w:top w:val="single" w:color="FFFFFF" w:sz="4"/>
              <w:left w:val="single" w:color="FFFFFF" w:sz="4"/>
              <w:bottom w:val="single" w:color="FFFFFF" w:sz="4"/>
              <w:right w:val="single" w:color="FFFFFF" w:sz="4"/>
            </w:tcBorders>
            <w:shd w:fill="EAF3EF" w:val="clear"/>
            <w:tcMar>
              <w:top w:type="dxa" w:w="110"/>
              <w:left w:type="dxa" w:w="160"/>
              <w:bottom w:type="dxa" w:w="110"/>
              <w:right w:type="dxa" w:w="120"/>
            </w:tcMar>
          </w:tcPr>
          <w:p>
            <w:r>
              <w:rPr>
                <w:rFonts w:ascii="Calibri" w:cs="Calibri" w:eastAsia="Calibri" w:hAnsi="Calibri"/>
                <w:b/>
                <w:bCs/>
                <w:color w:val="0B4F3C"/>
                <w:sz w:val="20"/>
                <w:szCs w:val="20"/>
              </w:rPr>
              <w:t xml:space="preserve">Section 6 — Regional Metropolitan Spoke-and-Hub Transit Grid</w:t>
            </w:r>
          </w:p>
        </w:tc>
        <w:tc>
          <w:tcPr>
            <w:tcW w:type="dxa" w:w="1300"/>
            <w:tcBorders>
              <w:top w:val="single" w:color="FFFFFF" w:sz="4"/>
              <w:left w:val="single" w:color="FFFFFF" w:sz="4"/>
              <w:bottom w:val="single" w:color="FFFFFF" w:sz="4"/>
              <w:right w:val="single" w:color="FFFFFF" w:sz="4"/>
            </w:tcBorders>
            <w:shd w:fill="EAF3EF" w:val="clear"/>
            <w:tcMar>
              <w:top w:type="dxa" w:w="110"/>
              <w:left w:type="dxa" w:w="120"/>
              <w:bottom w:type="dxa" w:w="110"/>
              <w:right w:type="dxa" w:w="160"/>
            </w:tcMar>
            <w:vAlign w:val="center"/>
          </w:tcPr>
          <w:p>
            <w:pPr>
              <w:jc w:val="right"/>
            </w:pPr>
            <w:r>
              <w:rPr>
                <w:rFonts w:ascii="Calibri" w:cs="Calibri" w:eastAsia="Calibri" w:hAnsi="Calibri"/>
                <w:b/>
                <w:bCs/>
                <w:color w:val="B08D2E"/>
                <w:sz w:val="20"/>
                <w:szCs w:val="20"/>
              </w:rPr>
              <w:t xml:space="preserve">12</w:t>
            </w:r>
          </w:p>
        </w:tc>
      </w:tr>
      <w:tr>
        <w:tc>
          <w:tcPr>
            <w:tcW w:type="dxa" w:w="7350"/>
            <w:tcBorders>
              <w:top w:val="single" w:color="FFFFFF" w:sz="4"/>
              <w:left w:val="single" w:color="FFFFFF" w:sz="4"/>
              <w:bottom w:val="single" w:color="FFFFFF" w:sz="4"/>
              <w:right w:val="single" w:color="FFFFFF" w:sz="4"/>
            </w:tcBorders>
            <w:shd w:fill="FFFFFF" w:val="clear"/>
            <w:tcMar>
              <w:top w:type="dxa" w:w="110"/>
              <w:left w:type="dxa" w:w="160"/>
              <w:bottom w:type="dxa" w:w="110"/>
              <w:right w:type="dxa" w:w="120"/>
            </w:tcMar>
          </w:tcPr>
          <w:p>
            <w:r>
              <w:rPr>
                <w:rFonts w:ascii="Calibri" w:cs="Calibri" w:eastAsia="Calibri" w:hAnsi="Calibri"/>
                <w:b/>
                <w:bCs/>
                <w:color w:val="0B4F3C"/>
                <w:sz w:val="20"/>
                <w:szCs w:val="20"/>
              </w:rPr>
              <w:t xml:space="preserve">Section 7 — Industrial Mapping &amp; Economic Satellite Clusters</w:t>
            </w:r>
          </w:p>
        </w:tc>
        <w:tc>
          <w:tcPr>
            <w:tcW w:type="dxa" w:w="1300"/>
            <w:tcBorders>
              <w:top w:val="single" w:color="FFFFFF" w:sz="4"/>
              <w:left w:val="single" w:color="FFFFFF" w:sz="4"/>
              <w:bottom w:val="single" w:color="FFFFFF" w:sz="4"/>
              <w:right w:val="single" w:color="FFFFFF" w:sz="4"/>
            </w:tcBorders>
            <w:shd w:fill="FFFFFF" w:val="clear"/>
            <w:tcMar>
              <w:top w:type="dxa" w:w="110"/>
              <w:left w:type="dxa" w:w="120"/>
              <w:bottom w:type="dxa" w:w="110"/>
              <w:right w:type="dxa" w:w="160"/>
            </w:tcMar>
            <w:vAlign w:val="center"/>
          </w:tcPr>
          <w:p>
            <w:pPr>
              <w:jc w:val="right"/>
            </w:pPr>
            <w:r>
              <w:rPr>
                <w:rFonts w:ascii="Calibri" w:cs="Calibri" w:eastAsia="Calibri" w:hAnsi="Calibri"/>
                <w:b/>
                <w:bCs/>
                <w:color w:val="B08D2E"/>
                <w:sz w:val="20"/>
                <w:szCs w:val="20"/>
              </w:rPr>
              <w:t xml:space="preserve">14</w:t>
            </w:r>
          </w:p>
        </w:tc>
      </w:tr>
      <w:tr>
        <w:tc>
          <w:tcPr>
            <w:tcW w:type="dxa" w:w="7350"/>
            <w:tcBorders>
              <w:top w:val="single" w:color="FFFFFF" w:sz="4"/>
              <w:left w:val="single" w:color="FFFFFF" w:sz="4"/>
              <w:bottom w:val="single" w:color="FFFFFF" w:sz="4"/>
              <w:right w:val="single" w:color="FFFFFF" w:sz="4"/>
            </w:tcBorders>
            <w:shd w:fill="EAF3EF" w:val="clear"/>
            <w:tcMar>
              <w:top w:type="dxa" w:w="110"/>
              <w:left w:type="dxa" w:w="160"/>
              <w:bottom w:type="dxa" w:w="110"/>
              <w:right w:type="dxa" w:w="120"/>
            </w:tcMar>
          </w:tcPr>
          <w:p>
            <w:r>
              <w:rPr>
                <w:rFonts w:ascii="Calibri" w:cs="Calibri" w:eastAsia="Calibri" w:hAnsi="Calibri"/>
                <w:b/>
                <w:bCs/>
                <w:color w:val="0B4F3C"/>
                <w:sz w:val="20"/>
                <w:szCs w:val="20"/>
              </w:rPr>
              <w:t xml:space="preserve">Section 8 — Off-Balance-Sheet Financing &amp; Securitization</w:t>
            </w:r>
          </w:p>
        </w:tc>
        <w:tc>
          <w:tcPr>
            <w:tcW w:type="dxa" w:w="1300"/>
            <w:tcBorders>
              <w:top w:val="single" w:color="FFFFFF" w:sz="4"/>
              <w:left w:val="single" w:color="FFFFFF" w:sz="4"/>
              <w:bottom w:val="single" w:color="FFFFFF" w:sz="4"/>
              <w:right w:val="single" w:color="FFFFFF" w:sz="4"/>
            </w:tcBorders>
            <w:shd w:fill="EAF3EF" w:val="clear"/>
            <w:tcMar>
              <w:top w:type="dxa" w:w="110"/>
              <w:left w:type="dxa" w:w="120"/>
              <w:bottom w:type="dxa" w:w="110"/>
              <w:right w:type="dxa" w:w="160"/>
            </w:tcMar>
            <w:vAlign w:val="center"/>
          </w:tcPr>
          <w:p>
            <w:pPr>
              <w:jc w:val="right"/>
            </w:pPr>
            <w:r>
              <w:rPr>
                <w:rFonts w:ascii="Calibri" w:cs="Calibri" w:eastAsia="Calibri" w:hAnsi="Calibri"/>
                <w:b/>
                <w:bCs/>
                <w:color w:val="B08D2E"/>
                <w:sz w:val="20"/>
                <w:szCs w:val="20"/>
              </w:rPr>
              <w:t xml:space="preserve">15</w:t>
            </w:r>
          </w:p>
        </w:tc>
      </w:tr>
      <w:tr>
        <w:tc>
          <w:tcPr>
            <w:tcW w:type="dxa" w:w="7350"/>
            <w:tcBorders>
              <w:top w:val="single" w:color="FFFFFF" w:sz="4"/>
              <w:left w:val="single" w:color="FFFFFF" w:sz="4"/>
              <w:bottom w:val="single" w:color="FFFFFF" w:sz="4"/>
              <w:right w:val="single" w:color="FFFFFF" w:sz="4"/>
            </w:tcBorders>
            <w:shd w:fill="FFFFFF" w:val="clear"/>
            <w:tcMar>
              <w:top w:type="dxa" w:w="110"/>
              <w:left w:type="dxa" w:w="160"/>
              <w:bottom w:type="dxa" w:w="110"/>
              <w:right w:type="dxa" w:w="120"/>
            </w:tcMar>
          </w:tcPr>
          <w:p>
            <w:r>
              <w:rPr>
                <w:rFonts w:ascii="Calibri" w:cs="Calibri" w:eastAsia="Calibri" w:hAnsi="Calibri"/>
                <w:b/>
                <w:bCs/>
                <w:color w:val="0B4F3C"/>
                <w:sz w:val="20"/>
                <w:szCs w:val="20"/>
              </w:rPr>
              <w:t xml:space="preserve">Section 9 — Forensic Gap Analysis &amp; 36-Month Implementation Timeline</w:t>
            </w:r>
          </w:p>
        </w:tc>
        <w:tc>
          <w:tcPr>
            <w:tcW w:type="dxa" w:w="1300"/>
            <w:tcBorders>
              <w:top w:val="single" w:color="FFFFFF" w:sz="4"/>
              <w:left w:val="single" w:color="FFFFFF" w:sz="4"/>
              <w:bottom w:val="single" w:color="FFFFFF" w:sz="4"/>
              <w:right w:val="single" w:color="FFFFFF" w:sz="4"/>
            </w:tcBorders>
            <w:shd w:fill="FFFFFF" w:val="clear"/>
            <w:tcMar>
              <w:top w:type="dxa" w:w="110"/>
              <w:left w:type="dxa" w:w="120"/>
              <w:bottom w:type="dxa" w:w="110"/>
              <w:right w:type="dxa" w:w="160"/>
            </w:tcMar>
            <w:vAlign w:val="center"/>
          </w:tcPr>
          <w:p>
            <w:pPr>
              <w:jc w:val="right"/>
            </w:pPr>
            <w:r>
              <w:rPr>
                <w:rFonts w:ascii="Calibri" w:cs="Calibri" w:eastAsia="Calibri" w:hAnsi="Calibri"/>
                <w:b/>
                <w:bCs/>
                <w:color w:val="B08D2E"/>
                <w:sz w:val="20"/>
                <w:szCs w:val="20"/>
              </w:rPr>
              <w:t xml:space="preserve">16</w:t>
            </w:r>
          </w:p>
        </w:tc>
      </w:tr>
      <w:tr>
        <w:tc>
          <w:tcPr>
            <w:tcW w:type="dxa" w:w="7350"/>
            <w:tcBorders>
              <w:top w:val="single" w:color="FFFFFF" w:sz="4"/>
              <w:left w:val="single" w:color="FFFFFF" w:sz="4"/>
              <w:bottom w:val="single" w:color="FFFFFF" w:sz="4"/>
              <w:right w:val="single" w:color="FFFFFF" w:sz="4"/>
            </w:tcBorders>
            <w:shd w:fill="EAF3EF" w:val="clear"/>
            <w:tcMar>
              <w:top w:type="dxa" w:w="110"/>
              <w:left w:type="dxa" w:w="160"/>
              <w:bottom w:type="dxa" w:w="110"/>
              <w:right w:type="dxa" w:w="120"/>
            </w:tcMar>
          </w:tcPr>
          <w:p>
            <w:r>
              <w:rPr>
                <w:rFonts w:ascii="Calibri" w:cs="Calibri" w:eastAsia="Calibri" w:hAnsi="Calibri"/>
                <w:b/>
                <w:bCs/>
                <w:color w:val="0B4F3C"/>
                <w:sz w:val="20"/>
                <w:szCs w:val="20"/>
              </w:rPr>
              <w:t xml:space="preserve">Section 10 — Financial Budget, Land Valuation &amp; Risk Mitigation</w:t>
            </w:r>
          </w:p>
        </w:tc>
        <w:tc>
          <w:tcPr>
            <w:tcW w:type="dxa" w:w="1300"/>
            <w:tcBorders>
              <w:top w:val="single" w:color="FFFFFF" w:sz="4"/>
              <w:left w:val="single" w:color="FFFFFF" w:sz="4"/>
              <w:bottom w:val="single" w:color="FFFFFF" w:sz="4"/>
              <w:right w:val="single" w:color="FFFFFF" w:sz="4"/>
            </w:tcBorders>
            <w:shd w:fill="EAF3EF" w:val="clear"/>
            <w:tcMar>
              <w:top w:type="dxa" w:w="110"/>
              <w:left w:type="dxa" w:w="120"/>
              <w:bottom w:type="dxa" w:w="110"/>
              <w:right w:type="dxa" w:w="160"/>
            </w:tcMar>
            <w:vAlign w:val="center"/>
          </w:tcPr>
          <w:p>
            <w:pPr>
              <w:jc w:val="right"/>
            </w:pPr>
            <w:r>
              <w:rPr>
                <w:rFonts w:ascii="Calibri" w:cs="Calibri" w:eastAsia="Calibri" w:hAnsi="Calibri"/>
                <w:b/>
                <w:bCs/>
                <w:color w:val="B08D2E"/>
                <w:sz w:val="20"/>
                <w:szCs w:val="20"/>
              </w:rPr>
              <w:t xml:space="preserve">18</w:t>
            </w:r>
          </w:p>
        </w:tc>
      </w:tr>
      <w:tr>
        <w:tc>
          <w:tcPr>
            <w:tcW w:type="dxa" w:w="7350"/>
            <w:tcBorders>
              <w:top w:val="single" w:color="FFFFFF" w:sz="4"/>
              <w:left w:val="single" w:color="FFFFFF" w:sz="4"/>
              <w:bottom w:val="single" w:color="FFFFFF" w:sz="4"/>
              <w:right w:val="single" w:color="FFFFFF" w:sz="4"/>
            </w:tcBorders>
            <w:shd w:fill="FFFFFF" w:val="clear"/>
            <w:tcMar>
              <w:top w:type="dxa" w:w="110"/>
              <w:left w:type="dxa" w:w="160"/>
              <w:bottom w:type="dxa" w:w="110"/>
              <w:right w:type="dxa" w:w="120"/>
            </w:tcMar>
          </w:tcPr>
          <w:p>
            <w:r>
              <w:rPr>
                <w:rFonts w:ascii="Calibri" w:cs="Calibri" w:eastAsia="Calibri" w:hAnsi="Calibri"/>
                <w:b/>
                <w:bCs/>
                <w:color w:val="1F2421"/>
                <w:sz w:val="20"/>
                <w:szCs w:val="20"/>
              </w:rPr>
              <w:t xml:space="preserve">Closing Note to Cabinet</w:t>
            </w:r>
          </w:p>
        </w:tc>
        <w:tc>
          <w:tcPr>
            <w:tcW w:type="dxa" w:w="1300"/>
            <w:tcBorders>
              <w:top w:val="single" w:color="FFFFFF" w:sz="4"/>
              <w:left w:val="single" w:color="FFFFFF" w:sz="4"/>
              <w:bottom w:val="single" w:color="FFFFFF" w:sz="4"/>
              <w:right w:val="single" w:color="FFFFFF" w:sz="4"/>
            </w:tcBorders>
            <w:shd w:fill="FFFFFF" w:val="clear"/>
            <w:tcMar>
              <w:top w:type="dxa" w:w="110"/>
              <w:left w:type="dxa" w:w="120"/>
              <w:bottom w:type="dxa" w:w="110"/>
              <w:right w:type="dxa" w:w="160"/>
            </w:tcMar>
            <w:vAlign w:val="center"/>
          </w:tcPr>
          <w:p>
            <w:pPr>
              <w:jc w:val="right"/>
            </w:pPr>
            <w:r>
              <w:rPr>
                <w:rFonts w:ascii="Calibri" w:cs="Calibri" w:eastAsia="Calibri" w:hAnsi="Calibri"/>
                <w:b/>
                <w:bCs/>
                <w:color w:val="B08D2E"/>
                <w:sz w:val="20"/>
                <w:szCs w:val="20"/>
              </w:rPr>
              <w:t xml:space="preserve">21</w:t>
            </w:r>
          </w:p>
        </w:tc>
      </w:tr>
    </w:tbl>
    <w:p>
      <w:r>
        <w:br w:type="page"/>
      </w:r>
    </w:p>
    <w:p>
      <w:pPr>
        <w:pStyle w:val="Heading1"/>
        <w:pBdr>
          <w:bottom w:val="single" w:color="B08D2E" w:sz="12" w:space="6"/>
        </w:pBdr>
        <w:spacing w:after="240" w:before="480"/>
      </w:pPr>
      <w:r>
        <w:rPr>
          <w:rFonts w:ascii="Calibri" w:cs="Calibri" w:eastAsia="Calibri" w:hAnsi="Calibri"/>
          <w:b/>
          <w:bCs/>
          <w:color w:val="0B4F3C"/>
          <w:sz w:val="30"/>
          <w:szCs w:val="30"/>
        </w:rPr>
        <w:t xml:space="preserve">Executive Summary &amp; The Macroeconomic Paradox</w:t>
      </w:r>
    </w:p>
    <w:p>
      <w:pPr>
        <w:pStyle w:val="Heading2"/>
        <w:spacing w:after="160" w:before="320"/>
      </w:pPr>
      <w:r>
        <w:rPr>
          <w:rFonts w:ascii="Calibri" w:cs="Calibri" w:eastAsia="Calibri" w:hAnsi="Calibri"/>
          <w:b/>
          <w:bCs/>
          <w:color w:val="146C4F"/>
          <w:sz w:val="25"/>
          <w:szCs w:val="25"/>
        </w:rPr>
        <w:t xml:space="preserve">1.1  The Macroeconomic Imperative</w:t>
      </w:r>
    </w:p>
    <w:p>
      <w:pPr>
        <w:spacing w:after="160" w:before="0" w:line="276"/>
      </w:pPr>
      <w:r>
        <w:rPr>
          <w:rFonts w:ascii="Calibri" w:cs="Calibri" w:eastAsia="Calibri" w:hAnsi="Calibri"/>
          <w:color w:val="1F2421"/>
          <w:sz w:val="21"/>
          <w:szCs w:val="21"/>
        </w:rPr>
        <w:t xml:space="preserve">Following the political transition of May 2026 and the subsequent publication of the State Fiscal White Paper, Kerala's fiscal balance sheet stands fully exposed.</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337"/>
        <w:gridCol w:w="2337"/>
        <w:gridCol w:w="2337"/>
        <w:gridCol w:w="2337"/>
      </w:tblGrid>
      <w:tr>
        <w:tc>
          <w:tcPr>
            <w:tcW w:type="dxa" w:w="2337"/>
            <w:tcBorders>
              <w:top w:val="single" w:color="B08D2E" w:sz="4"/>
              <w:left w:val="single" w:color="B08D2E" w:sz="4"/>
              <w:bottom w:val="single" w:color="B08D2E" w:sz="4"/>
              <w:right w:val="single" w:color="B08D2E" w:sz="4"/>
            </w:tcBorders>
            <w:shd w:fill="DCEEE5" w:val="clear"/>
            <w:tcMar>
              <w:top w:type="dxa" w:w="160"/>
              <w:left w:type="dxa" w:w="120"/>
              <w:bottom w:type="dxa" w:w="160"/>
              <w:right w:type="dxa" w:w="120"/>
            </w:tcMar>
            <w:vAlign w:val="center"/>
          </w:tcPr>
          <w:p>
            <w:pPr>
              <w:spacing w:after="40"/>
              <w:jc w:val="center"/>
            </w:pPr>
            <w:r>
              <w:rPr>
                <w:rFonts w:ascii="Calibri" w:cs="Calibri" w:eastAsia="Calibri" w:hAnsi="Calibri"/>
                <w:b/>
                <w:bCs/>
                <w:color w:val="0B4F3C"/>
                <w:sz w:val="27"/>
                <w:szCs w:val="27"/>
              </w:rPr>
              <w:t xml:space="preserve">₹5.07L Cr</w:t>
            </w:r>
          </w:p>
          <w:p>
            <w:pPr>
              <w:jc w:val="center"/>
            </w:pPr>
            <w:r>
              <w:rPr>
                <w:rFonts w:ascii="Calibri" w:cs="Calibri" w:eastAsia="Calibri" w:hAnsi="Calibri"/>
                <w:color w:val="5B6763"/>
                <w:sz w:val="16"/>
                <w:szCs w:val="16"/>
              </w:rPr>
              <w:t xml:space="preserve">Outstanding State Liabilities</w:t>
            </w:r>
          </w:p>
        </w:tc>
        <w:tc>
          <w:tcPr>
            <w:tcW w:type="dxa" w:w="2337"/>
            <w:tcBorders>
              <w:top w:val="single" w:color="B08D2E" w:sz="4"/>
              <w:left w:val="single" w:color="B08D2E" w:sz="4"/>
              <w:bottom w:val="single" w:color="B08D2E" w:sz="4"/>
              <w:right w:val="single" w:color="B08D2E" w:sz="4"/>
            </w:tcBorders>
            <w:shd w:fill="DCEEE5" w:val="clear"/>
            <w:tcMar>
              <w:top w:type="dxa" w:w="160"/>
              <w:left w:type="dxa" w:w="120"/>
              <w:bottom w:type="dxa" w:w="160"/>
              <w:right w:type="dxa" w:w="120"/>
            </w:tcMar>
            <w:vAlign w:val="center"/>
          </w:tcPr>
          <w:p>
            <w:pPr>
              <w:spacing w:after="40"/>
              <w:jc w:val="center"/>
            </w:pPr>
            <w:r>
              <w:rPr>
                <w:rFonts w:ascii="Calibri" w:cs="Calibri" w:eastAsia="Calibri" w:hAnsi="Calibri"/>
                <w:b/>
                <w:bCs/>
                <w:color w:val="0B4F3C"/>
                <w:sz w:val="27"/>
                <w:szCs w:val="27"/>
              </w:rPr>
              <w:t xml:space="preserve">77.6%</w:t>
            </w:r>
          </w:p>
          <w:p>
            <w:pPr>
              <w:jc w:val="center"/>
            </w:pPr>
            <w:r>
              <w:rPr>
                <w:rFonts w:ascii="Calibri" w:cs="Calibri" w:eastAsia="Calibri" w:hAnsi="Calibri"/>
                <w:color w:val="5B6763"/>
                <w:sz w:val="16"/>
                <w:szCs w:val="16"/>
              </w:rPr>
              <w:t xml:space="preserve">Revenue Consumed by Salaries, Pensions &amp; Debt</w:t>
            </w:r>
          </w:p>
        </w:tc>
        <w:tc>
          <w:tcPr>
            <w:tcW w:type="dxa" w:w="2337"/>
            <w:tcBorders>
              <w:top w:val="single" w:color="B08D2E" w:sz="4"/>
              <w:left w:val="single" w:color="B08D2E" w:sz="4"/>
              <w:bottom w:val="single" w:color="B08D2E" w:sz="4"/>
              <w:right w:val="single" w:color="B08D2E" w:sz="4"/>
            </w:tcBorders>
            <w:shd w:fill="DCEEE5" w:val="clear"/>
            <w:tcMar>
              <w:top w:type="dxa" w:w="160"/>
              <w:left w:type="dxa" w:w="120"/>
              <w:bottom w:type="dxa" w:w="160"/>
              <w:right w:type="dxa" w:w="120"/>
            </w:tcMar>
            <w:vAlign w:val="center"/>
          </w:tcPr>
          <w:p>
            <w:pPr>
              <w:spacing w:after="40"/>
              <w:jc w:val="center"/>
            </w:pPr>
            <w:r>
              <w:rPr>
                <w:rFonts w:ascii="Calibri" w:cs="Calibri" w:eastAsia="Calibri" w:hAnsi="Calibri"/>
                <w:b/>
                <w:bCs/>
                <w:color w:val="0B4F3C"/>
                <w:sz w:val="27"/>
                <w:szCs w:val="27"/>
              </w:rPr>
              <w:t xml:space="preserve">1.34%</w:t>
            </w:r>
          </w:p>
          <w:p>
            <w:pPr>
              <w:jc w:val="center"/>
            </w:pPr>
            <w:r>
              <w:rPr>
                <w:rFonts w:ascii="Calibri" w:cs="Calibri" w:eastAsia="Calibri" w:hAnsi="Calibri"/>
                <w:color w:val="5B6763"/>
                <w:sz w:val="16"/>
                <w:szCs w:val="16"/>
              </w:rPr>
              <w:t xml:space="preserve">CapEx as Share of GSDP</w:t>
            </w:r>
          </w:p>
        </w:tc>
        <w:tc>
          <w:tcPr>
            <w:tcW w:type="dxa" w:w="2337"/>
            <w:tcBorders>
              <w:top w:val="single" w:color="B08D2E" w:sz="4"/>
              <w:left w:val="single" w:color="B08D2E" w:sz="4"/>
              <w:bottom w:val="single" w:color="B08D2E" w:sz="4"/>
              <w:right w:val="single" w:color="B08D2E" w:sz="4"/>
            </w:tcBorders>
            <w:shd w:fill="DCEEE5" w:val="clear"/>
            <w:tcMar>
              <w:top w:type="dxa" w:w="160"/>
              <w:left w:type="dxa" w:w="120"/>
              <w:bottom w:type="dxa" w:w="160"/>
              <w:right w:type="dxa" w:w="120"/>
            </w:tcMar>
            <w:vAlign w:val="center"/>
          </w:tcPr>
          <w:p>
            <w:pPr>
              <w:spacing w:after="40"/>
              <w:jc w:val="center"/>
            </w:pPr>
            <w:r>
              <w:rPr>
                <w:rFonts w:ascii="Calibri" w:cs="Calibri" w:eastAsia="Calibri" w:hAnsi="Calibri"/>
                <w:b/>
                <w:bCs/>
                <w:color w:val="0B4F3C"/>
                <w:sz w:val="27"/>
                <w:szCs w:val="27"/>
              </w:rPr>
              <w:t xml:space="preserve">₹43,378 Cr</w:t>
            </w:r>
          </w:p>
          <w:p>
            <w:pPr>
              <w:jc w:val="center"/>
            </w:pPr>
            <w:r>
              <w:rPr>
                <w:rFonts w:ascii="Calibri" w:cs="Calibri" w:eastAsia="Calibri" w:hAnsi="Calibri"/>
                <w:color w:val="5B6763"/>
                <w:sz w:val="16"/>
                <w:szCs w:val="16"/>
              </w:rPr>
              <w:t xml:space="preserve">Annual Outward Capital Flight</w:t>
            </w:r>
          </w:p>
        </w:tc>
      </w:tr>
    </w:tbl>
    <w:p>
      <w:pPr>
        <w:spacing w:after="200"/>
      </w:pPr>
    </w:p>
    <w:p>
      <w:pPr>
        <w:pStyle w:val="ListParagraph"/>
        <w:numPr>
          <w:ilvl w:val="0"/>
          <w:numId w:val="2"/>
        </w:numPr>
        <w:spacing w:after="120" w:line="268"/>
      </w:pPr>
      <w:r>
        <w:rPr>
          <w:rFonts w:ascii="Calibri" w:cs="Calibri" w:eastAsia="Calibri" w:hAnsi="Calibri"/>
          <w:b/>
          <w:bCs/>
          <w:color w:val="0B4F3C"/>
          <w:sz w:val="21"/>
          <w:szCs w:val="21"/>
        </w:rPr>
        <w:t xml:space="preserve">Absolute Outstanding Liabilities: ₹5.07 lakh crore</w:t>
      </w:r>
      <w:r>
        <w:rPr>
          <w:rFonts w:ascii="Calibri" w:cs="Calibri" w:eastAsia="Calibri" w:hAnsi="Calibri"/>
          <w:color w:val="1F2421"/>
          <w:sz w:val="21"/>
          <w:szCs w:val="21"/>
        </w:rPr>
        <w:t xml:space="preserve"> (plus ₹87,012 crore in unrecorded off-budget liabilities, taking fully loaded debt past 40% of GSDP).</w:t>
      </w:r>
    </w:p>
    <w:p>
      <w:pPr>
        <w:pStyle w:val="ListParagraph"/>
        <w:numPr>
          <w:ilvl w:val="0"/>
          <w:numId w:val="2"/>
        </w:numPr>
        <w:spacing w:after="120" w:line="268"/>
      </w:pPr>
      <w:r>
        <w:rPr>
          <w:rFonts w:ascii="Calibri" w:cs="Calibri" w:eastAsia="Calibri" w:hAnsi="Calibri"/>
          <w:b/>
          <w:bCs/>
          <w:color w:val="0B4F3C"/>
          <w:sz w:val="21"/>
          <w:szCs w:val="21"/>
        </w:rPr>
        <w:t xml:space="preserve">Committed Expenditure Choke: Salaries, pensions and debt servicing consume 77.6% of total revenue receipts,</w:t>
      </w:r>
      <w:r>
        <w:rPr>
          <w:rFonts w:ascii="Calibri" w:cs="Calibri" w:eastAsia="Calibri" w:hAnsi="Calibri"/>
          <w:color w:val="1F2421"/>
          <w:sz w:val="21"/>
          <w:szCs w:val="21"/>
        </w:rPr>
        <w:t xml:space="preserve"> leaving state-funded Capital Expenditure (CapEx) collapsed at an unsustainable 1.34% of GSDP (versus a ~3.2% national state average).</w:t>
      </w:r>
    </w:p>
    <w:p>
      <w:pPr>
        <w:pStyle w:val="ListParagraph"/>
        <w:numPr>
          <w:ilvl w:val="0"/>
          <w:numId w:val="2"/>
        </w:numPr>
        <w:spacing w:after="120" w:line="268"/>
      </w:pPr>
      <w:r>
        <w:rPr>
          <w:rFonts w:ascii="Calibri" w:cs="Calibri" w:eastAsia="Calibri" w:hAnsi="Calibri"/>
          <w:b/>
          <w:bCs/>
          <w:color w:val="0B4F3C"/>
          <w:sz w:val="21"/>
          <w:szCs w:val="21"/>
        </w:rPr>
        <w:t xml:space="preserve">Demographic &amp; Capital Drain:</w:t>
      </w:r>
      <w:r>
        <w:rPr>
          <w:rFonts w:ascii="Calibri" w:cs="Calibri" w:eastAsia="Calibri" w:hAnsi="Calibri"/>
          <w:color w:val="1F2421"/>
          <w:sz w:val="21"/>
          <w:szCs w:val="21"/>
        </w:rPr>
        <w:t xml:space="preserve"> With a Total Fertility Rate (TFR) hovering between 1.35 and 1.5, Kerala is the fastest-ageing state in South Asia (over 20.9% elderly by 2031). Concurrently, an estimated ₹43,378 crore in outward capital flight occurs annually as youth fund permanent student emigration to the Global North.</w:t>
      </w:r>
    </w:p>
    <w:p>
      <w:pPr>
        <w:spacing w:after="16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0B4F3C" w:sz="4"/>
              <w:left w:val="single" w:color="0B4F3C" w:sz="4"/>
              <w:bottom w:val="single" w:color="0B4F3C" w:sz="4"/>
              <w:right w:val="single" w:color="0B4F3C" w:sz="4"/>
            </w:tcBorders>
            <w:shd w:fill="0B4F3C" w:val="clear"/>
            <w:tcMar>
              <w:top w:type="dxa" w:w="110"/>
              <w:left w:type="dxa" w:w="160"/>
              <w:bottom w:type="dxa" w:w="110"/>
              <w:right w:type="dxa" w:w="160"/>
            </w:tcMar>
          </w:tcPr>
          <w:p>
            <w:pPr>
              <w:jc w:val="center"/>
            </w:pPr>
            <w:r>
              <w:rPr>
                <w:rFonts w:ascii="Calibri" w:cs="Calibri" w:eastAsia="Calibri" w:hAnsi="Calibri"/>
                <w:b/>
                <w:bCs/>
                <w:color w:val="FFFFFF"/>
                <w:sz w:val="21"/>
                <w:szCs w:val="21"/>
              </w:rPr>
              <w:t xml:space="preserve">THE KERALA FISCAL &amp; SPATIAL PARADOX</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Outstanding Debt</w:t>
            </w:r>
          </w:p>
          <w:p>
            <w:pPr>
              <w:spacing w:before="20"/>
            </w:pPr>
            <w:r>
              <w:rPr>
                <w:rFonts w:ascii="Calibri" w:cs="Calibri" w:eastAsia="Calibri" w:hAnsi="Calibri"/>
                <w:color w:val="1F2421"/>
                <w:sz w:val="18"/>
                <w:szCs w:val="18"/>
              </w:rPr>
              <w:t xml:space="preserve">₹5.07L Cr</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Committed Expenditure</w:t>
            </w:r>
          </w:p>
          <w:p>
            <w:pPr>
              <w:spacing w:before="20"/>
            </w:pPr>
            <w:r>
              <w:rPr>
                <w:rFonts w:ascii="Calibri" w:cs="Calibri" w:eastAsia="Calibri" w:hAnsi="Calibri"/>
                <w:color w:val="1F2421"/>
                <w:sz w:val="18"/>
                <w:szCs w:val="18"/>
              </w:rPr>
              <w:t xml:space="preserve">77.6% of Revenue Receipts</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CapEx Collapse</w:t>
            </w:r>
          </w:p>
          <w:p>
            <w:pPr>
              <w:spacing w:before="20"/>
            </w:pPr>
            <w:r>
              <w:rPr>
                <w:rFonts w:ascii="Calibri" w:cs="Calibri" w:eastAsia="Calibri" w:hAnsi="Calibri"/>
                <w:color w:val="1F2421"/>
                <w:sz w:val="18"/>
                <w:szCs w:val="18"/>
              </w:rPr>
              <w:t xml:space="preserve">1.34% of GSDP — Unable to Fund Greenfield Land Buyouts</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The Solution</w:t>
            </w:r>
          </w:p>
          <w:p>
            <w:pPr>
              <w:spacing w:before="20"/>
            </w:pPr>
            <w:r>
              <w:rPr>
                <w:rFonts w:ascii="Calibri" w:cs="Calibri" w:eastAsia="Calibri" w:hAnsi="Calibri"/>
                <w:color w:val="1F2421"/>
                <w:sz w:val="18"/>
                <w:szCs w:val="18"/>
              </w:rPr>
              <w:t xml:space="preserve">Off-Balance-Sheet Citizen-Equity Land Pooling &amp; High FSI (10x)</w:t>
            </w:r>
          </w:p>
        </w:tc>
      </w:tr>
    </w:tbl>
    <w:p>
      <w:pPr>
        <w:spacing w:after="200"/>
      </w:pPr>
    </w:p>
    <w:p>
      <w:pPr>
        <w:spacing w:after="160" w:before="0" w:line="276"/>
      </w:pPr>
      <w:r>
        <w:rPr>
          <w:rFonts w:ascii="Calibri" w:cs="Calibri" w:eastAsia="Calibri" w:hAnsi="Calibri"/>
          <w:color w:val="1F2421"/>
          <w:sz w:val="21"/>
          <w:szCs w:val="21"/>
        </w:rPr>
        <w:t xml:space="preserve">The State of Kerala cannot buy its way into industrial development via debt-funded greenfield land acquisition. Furthermore, Kerala's linear, 550-km settlement pattern has generated a continuous, low-density suburb — the most expensive urban form ever invented to service with water, electricity, and transit.</w:t>
      </w:r>
    </w:p>
    <w:p>
      <w:pPr>
        <w:spacing w:after="160" w:before="0" w:line="276"/>
      </w:pPr>
      <w:r>
        <w:rPr>
          <w:rFonts w:ascii="Calibri" w:cs="Calibri" w:eastAsia="Calibri" w:hAnsi="Calibri"/>
          <w:color w:val="1F2421"/>
          <w:sz w:val="21"/>
          <w:szCs w:val="21"/>
        </w:rPr>
        <w:t xml:space="preserve">The Kochi Greater Bay Area (K-GBA) Master Plan introduces a mandatory structural pivot: Brownfield Asset Optimization, High-Density Transit-Oriented Development (TOD), and Off-Balance-Sheet Infrastructure Securitization.</w:t>
      </w:r>
    </w:p>
    <w:p>
      <w:pPr>
        <w:pStyle w:val="Heading2"/>
        <w:spacing w:after="160" w:before="320"/>
      </w:pPr>
      <w:r>
        <w:rPr>
          <w:rFonts w:ascii="Calibri" w:cs="Calibri" w:eastAsia="Calibri" w:hAnsi="Calibri"/>
          <w:b/>
          <w:bCs/>
          <w:color w:val="146C4F"/>
          <w:sz w:val="25"/>
          <w:szCs w:val="25"/>
        </w:rPr>
        <w:t xml:space="preserve">1.2  The Financial Deal &amp; The 12-Month Clock</w:t>
      </w:r>
    </w:p>
    <w:p>
      <w:pPr>
        <w:spacing w:after="160" w:before="0" w:line="276"/>
      </w:pPr>
      <w:r>
        <w:rPr>
          <w:rFonts w:ascii="Calibri" w:cs="Calibri" w:eastAsia="Calibri" w:hAnsi="Calibri"/>
          <w:color w:val="1F2421"/>
          <w:sz w:val="21"/>
          <w:szCs w:val="21"/>
        </w:rPr>
        <w:t xml:space="preserve">The core 363.73-hectare highway footprint is locked under a unique inter-governmental arrangement:</w:t>
      </w:r>
    </w:p>
    <w:p>
      <w:pPr>
        <w:pStyle w:val="ListParagraph"/>
        <w:numPr>
          <w:ilvl w:val="0"/>
          <w:numId w:val="2"/>
        </w:numPr>
        <w:spacing w:after="120" w:line="268"/>
      </w:pPr>
      <w:r>
        <w:rPr>
          <w:rFonts w:ascii="Calibri" w:cs="Calibri" w:eastAsia="Calibri" w:hAnsi="Calibri"/>
          <w:b/>
          <w:bCs/>
          <w:color w:val="0B4F3C"/>
          <w:sz w:val="21"/>
          <w:szCs w:val="21"/>
        </w:rPr>
        <w:t xml:space="preserve">The Deal:</w:t>
      </w:r>
      <w:r>
        <w:rPr>
          <w:rFonts w:ascii="Calibri" w:cs="Calibri" w:eastAsia="Calibri" w:hAnsi="Calibri"/>
          <w:color w:val="1F2421"/>
          <w:sz w:val="21"/>
          <w:szCs w:val="21"/>
        </w:rPr>
        <w:t xml:space="preserve"> The State Government agreed to waive its share of GST and mineral royalties on construction materials (valued at ~₹424 Crore). In return, the National Highways Authority of India (NHAI) assumed 100% of the land-acquisition cost, exempting Kerala from the customary 25% state equity share.</w:t>
      </w:r>
    </w:p>
    <w:p>
      <w:pPr>
        <w:pStyle w:val="ListParagraph"/>
        <w:numPr>
          <w:ilvl w:val="0"/>
          <w:numId w:val="2"/>
        </w:numPr>
        <w:spacing w:after="120" w:line="268"/>
      </w:pPr>
      <w:r>
        <w:rPr>
          <w:rFonts w:ascii="Calibri" w:cs="Calibri" w:eastAsia="Calibri" w:hAnsi="Calibri"/>
          <w:b/>
          <w:bCs/>
          <w:color w:val="0B4F3C"/>
          <w:sz w:val="21"/>
          <w:szCs w:val="21"/>
        </w:rPr>
        <w:t xml:space="preserve">The Statutory Clock:</w:t>
      </w:r>
      <w:r>
        <w:rPr>
          <w:rFonts w:ascii="Calibri" w:cs="Calibri" w:eastAsia="Calibri" w:hAnsi="Calibri"/>
          <w:color w:val="1F2421"/>
          <w:sz w:val="21"/>
          <w:szCs w:val="21"/>
        </w:rPr>
        <w:t xml:space="preserve"> Section 3(a) notifications under the National Highways Act, 1956 have been published across 20 notified revenue villages — Arakkapady, Pattimattom, Vadavucode, Aikaranad North, Aikaranad South, Thiruvaniyoor, Marampilly, Vengola, Karukutty, Thuravoor, Mattoor, Vadakkumbhagom, Kizhakkumbhagom, Kureekkad, Kumbalam, Thekkumbhagam, Thiruvankulam, Maradu, Angamaly, and Aroor.</w:t>
      </w:r>
    </w:p>
    <w:p>
      <w:pPr>
        <w:pStyle w:val="ListParagraph"/>
        <w:numPr>
          <w:ilvl w:val="0"/>
          <w:numId w:val="2"/>
        </w:numPr>
        <w:spacing w:after="120" w:line="268"/>
      </w:pPr>
      <w:r>
        <w:rPr>
          <w:rFonts w:ascii="Calibri" w:cs="Calibri" w:eastAsia="Calibri" w:hAnsi="Calibri"/>
          <w:b/>
          <w:bCs/>
          <w:color w:val="0B4F3C"/>
          <w:sz w:val="21"/>
          <w:szCs w:val="21"/>
        </w:rPr>
        <w:t xml:space="preserve">The Failure Mode:</w:t>
      </w:r>
      <w:r>
        <w:rPr>
          <w:rFonts w:ascii="Calibri" w:cs="Calibri" w:eastAsia="Calibri" w:hAnsi="Calibri"/>
          <w:color w:val="1F2421"/>
          <w:sz w:val="21"/>
          <w:szCs w:val="21"/>
        </w:rPr>
        <w:t xml:space="preserve"> Competent Authorities for Land Acquisition (CALA) stand appointed. The 12-month statutory clock to issue Section 3(D) notifications is running. If reviews are not cleared within 12 months, the acquisition lapses, forcing a re-notification into a land market that will have re-priced upwards by 35%–60%.</w:t>
      </w:r>
    </w:p>
    <w:p>
      <w:pPr>
        <w:pStyle w:val="Heading2"/>
        <w:spacing w:after="160" w:before="320"/>
      </w:pPr>
      <w:r>
        <w:rPr>
          <w:rFonts w:ascii="Calibri" w:cs="Calibri" w:eastAsia="Calibri" w:hAnsi="Calibri"/>
          <w:b/>
          <w:bCs/>
          <w:color w:val="146C4F"/>
          <w:sz w:val="25"/>
          <w:szCs w:val="25"/>
        </w:rPr>
        <w:t xml:space="preserve">1.3  The Core Framing Doctrine (Kerala Model 2.0)</w:t>
      </w:r>
    </w:p>
    <w:p>
      <w:pPr>
        <w:pBdr>
          <w:left w:val="single" w:color="B08D2E" w:sz="24" w:space="12"/>
        </w:pBdr>
        <w:shd w:fill="F6EFDC" w:val="clear"/>
        <w:spacing w:after="200" w:before="140" w:line="276"/>
        <w:ind w:left="360"/>
      </w:pPr>
      <w:r>
        <w:rPr>
          <w:rFonts w:ascii="Georgia" w:cs="Georgia" w:eastAsia="Georgia" w:hAnsi="Georgia"/>
          <w:i/>
          <w:iCs/>
          <w:color w:val="0B4F3C"/>
          <w:sz w:val="22"/>
          <w:szCs w:val="22"/>
        </w:rPr>
        <w:t xml:space="preserve">“The First Kerala Model gave every Malayali a life worth living; the Second Kerala Model must give every Malayali a life worth staying for.”</w:t>
      </w:r>
    </w:p>
    <w:p>
      <w:pPr>
        <w:spacing w:after="160" w:before="0" w:line="276"/>
      </w:pPr>
      <w:r>
        <w:rPr>
          <w:rFonts w:ascii="Calibri" w:cs="Calibri" w:eastAsia="Calibri" w:hAnsi="Calibri"/>
          <w:color w:val="1F2421"/>
          <w:sz w:val="21"/>
          <w:szCs w:val="21"/>
        </w:rPr>
        <w:t xml:space="preserve">The First Kerala Model solved human dignity but exported its dividend through brain drain. The Second Kerala Model builds a globally competitive metropolitan economy on domestic soil, converting 96.7% of marginal landholders into equity shareholders in high-density urban nodes.</w:t>
      </w:r>
    </w:p>
    <w:p>
      <w:r>
        <w:br w:type="page"/>
      </w:r>
    </w:p>
    <w:p>
      <w:pPr>
        <w:pStyle w:val="Heading1"/>
        <w:pBdr>
          <w:bottom w:val="single" w:color="B08D2E" w:sz="12" w:space="6"/>
        </w:pBdr>
        <w:spacing w:after="240" w:before="480"/>
      </w:pPr>
      <w:r>
        <w:rPr>
          <w:rFonts w:ascii="Calibri" w:cs="Calibri" w:eastAsia="Calibri" w:hAnsi="Calibri"/>
          <w:b/>
          <w:bCs/>
          <w:color w:val="B08D2E"/>
          <w:sz w:val="22"/>
          <w:szCs w:val="22"/>
        </w:rPr>
        <w:t xml:space="preserve">SECTION 1  |  </w:t>
      </w:r>
      <w:r>
        <w:rPr>
          <w:rFonts w:ascii="Calibri" w:cs="Calibri" w:eastAsia="Calibri" w:hAnsi="Calibri"/>
          <w:b/>
          <w:bCs/>
          <w:color w:val="0B4F3C"/>
          <w:sz w:val="30"/>
          <w:szCs w:val="30"/>
        </w:rPr>
        <w:t xml:space="preserve">Spatial &amp; Ecological Baseline Audit (Ernakulam District)</w:t>
      </w:r>
    </w:p>
    <w:p>
      <w:pPr>
        <w:spacing w:after="160" w:before="0" w:line="276"/>
      </w:pPr>
      <w:r>
        <w:rPr>
          <w:rFonts w:ascii="Calibri" w:cs="Calibri" w:eastAsia="Calibri" w:hAnsi="Calibri"/>
          <w:color w:val="1F2421"/>
          <w:sz w:val="21"/>
          <w:szCs w:val="21"/>
        </w:rPr>
        <w:t xml:space="preserve">Ernakulam district covers a total geographic area of 3,068 sq km (306,800 hectares). To establish a realistic spatial footprint for urban expansion, environmentally sensitive and legally restricted zones must be subtracted sequentially from the total area.</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6732"/>
        <w:gridCol w:w="2618"/>
      </w:tblGrid>
      <w:tr>
        <w:trPr>
          <w:tblHeader/>
        </w:trPr>
        <w:tc>
          <w:tcPr>
            <w:tcW w:type="dxa" w:w="6732"/>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Land Use Constraint</w:t>
            </w:r>
          </w:p>
        </w:tc>
        <w:tc>
          <w:tcPr>
            <w:tcW w:type="dxa" w:w="2618"/>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Area</w:t>
            </w:r>
          </w:p>
        </w:tc>
      </w:tr>
      <w:tr>
        <w:tc>
          <w:tcPr>
            <w:tcW w:type="dxa" w:w="6732"/>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Total Geographic Area</w:t>
            </w:r>
          </w:p>
        </w:tc>
        <w:tc>
          <w:tcPr>
            <w:tcW w:type="dxa" w:w="2618"/>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3,068 sq km</w:t>
            </w:r>
          </w:p>
        </w:tc>
      </w:tr>
      <w:tr>
        <w:tc>
          <w:tcPr>
            <w:tcW w:type="dxa" w:w="6732"/>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Coastal Regulation Zone (CRZ-I, II, III Wetlands)</w:t>
            </w:r>
          </w:p>
        </w:tc>
        <w:tc>
          <w:tcPr>
            <w:tcW w:type="dxa" w:w="2618"/>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− 665 sq km</w:t>
            </w:r>
          </w:p>
        </w:tc>
      </w:tr>
      <w:tr>
        <w:tc>
          <w:tcPr>
            <w:tcW w:type="dxa" w:w="6732"/>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Protected Forests &amp; ESZ-1 (Eastern Foothills)</w:t>
            </w:r>
          </w:p>
        </w:tc>
        <w:tc>
          <w:tcPr>
            <w:tcW w:type="dxa" w:w="2618"/>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− 500 sq km</w:t>
            </w:r>
          </w:p>
        </w:tc>
      </w:tr>
      <w:tr>
        <w:tc>
          <w:tcPr>
            <w:tcW w:type="dxa" w:w="6732"/>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Existing High-Density Built-up Core (Urban Grid)</w:t>
            </w:r>
          </w:p>
        </w:tc>
        <w:tc>
          <w:tcPr>
            <w:tcW w:type="dxa" w:w="2618"/>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− 635 sq km</w:t>
            </w:r>
          </w:p>
        </w:tc>
      </w:tr>
      <w:tr>
        <w:tc>
          <w:tcPr>
            <w:tcW w:type="dxa" w:w="6732"/>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Inland Waterbodies, Canals &amp; Quarry Voids</w:t>
            </w:r>
          </w:p>
        </w:tc>
        <w:tc>
          <w:tcPr>
            <w:tcW w:type="dxa" w:w="2618"/>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− 205 sq km</w:t>
            </w:r>
          </w:p>
        </w:tc>
      </w:tr>
      <w:tr>
        <w:tc>
          <w:tcPr>
            <w:tcW w:type="dxa" w:w="6732"/>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NET DEVELOPABLE GREENFIELD / BROWNFIELD BUFFER</w:t>
            </w:r>
          </w:p>
        </w:tc>
        <w:tc>
          <w:tcPr>
            <w:tcW w:type="dxa" w:w="2618"/>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1,063 sq km</w:t>
            </w:r>
          </w:p>
        </w:tc>
      </w:tr>
    </w:tbl>
    <w:p>
      <w:pPr>
        <w:spacing w:after="200"/>
      </w:pPr>
    </w:p>
    <w:p>
      <w:pPr>
        <w:pStyle w:val="Heading2"/>
        <w:spacing w:after="160" w:before="320"/>
      </w:pPr>
      <w:r>
        <w:rPr>
          <w:rFonts w:ascii="Calibri" w:cs="Calibri" w:eastAsia="Calibri" w:hAnsi="Calibri"/>
          <w:b/>
          <w:bCs/>
          <w:color w:val="146C4F"/>
          <w:sz w:val="25"/>
          <w:szCs w:val="25"/>
        </w:rPr>
        <w:t xml:space="preserve">1.1  Net Developable Buffer</w:t>
      </w:r>
    </w:p>
    <w:p>
      <w:pPr>
        <w:pStyle w:val="ListParagraph"/>
        <w:numPr>
          <w:ilvl w:val="0"/>
          <w:numId w:val="2"/>
        </w:numPr>
        <w:spacing w:after="120" w:line="268"/>
      </w:pPr>
      <w:r>
        <w:rPr>
          <w:rFonts w:ascii="Calibri" w:cs="Calibri" w:eastAsia="Calibri" w:hAnsi="Calibri"/>
          <w:b/>
          <w:bCs/>
          <w:color w:val="0B4F3C"/>
          <w:sz w:val="21"/>
          <w:szCs w:val="21"/>
        </w:rPr>
        <w:t xml:space="preserve">Net Developable Land:</w:t>
      </w:r>
      <w:r>
        <w:rPr>
          <w:rFonts w:ascii="Calibri" w:cs="Calibri" w:eastAsia="Calibri" w:hAnsi="Calibri"/>
          <w:color w:val="1F2421"/>
          <w:sz w:val="21"/>
          <w:szCs w:val="21"/>
        </w:rPr>
        <w:t xml:space="preserve"> 1,063 sq km (~262,600 acres) represents the total unconstrained land buffer in Ernakulam district (approx. 34.6% of gross area).</w:t>
      </w:r>
    </w:p>
    <w:p>
      <w:pPr>
        <w:pStyle w:val="ListParagraph"/>
        <w:numPr>
          <w:ilvl w:val="0"/>
          <w:numId w:val="2"/>
        </w:numPr>
        <w:spacing w:after="120" w:line="268"/>
      </w:pPr>
      <w:r>
        <w:rPr>
          <w:rFonts w:ascii="Calibri" w:cs="Calibri" w:eastAsia="Calibri" w:hAnsi="Calibri"/>
          <w:b/>
          <w:bCs/>
          <w:color w:val="0B4F3C"/>
          <w:sz w:val="21"/>
          <w:szCs w:val="21"/>
        </w:rPr>
        <w:t xml:space="preserve">The Alignment Discovery:</w:t>
      </w:r>
      <w:r>
        <w:rPr>
          <w:rFonts w:ascii="Calibri" w:cs="Calibri" w:eastAsia="Calibri" w:hAnsi="Calibri"/>
          <w:color w:val="1F2421"/>
          <w:sz w:val="21"/>
          <w:szCs w:val="21"/>
        </w:rPr>
        <w:t xml:space="preserve"> This 1,063 sq km buffer is concentrated almost entirely in an eastern crescent running from Karukutty/Angamaly down through Vengola, Puthencruz, Thiruvaniyoor, and Kumbalam. The ORR alignment and the district's residual developable land are the exact same geography.</w:t>
      </w:r>
    </w:p>
    <w:p>
      <w:pPr>
        <w:pStyle w:val="Heading2"/>
        <w:spacing w:after="160" w:before="320"/>
      </w:pPr>
      <w:r>
        <w:rPr>
          <w:rFonts w:ascii="Calibri" w:cs="Calibri" w:eastAsia="Calibri" w:hAnsi="Calibri"/>
          <w:b/>
          <w:bCs/>
          <w:color w:val="146C4F"/>
          <w:sz w:val="25"/>
          <w:szCs w:val="25"/>
        </w:rPr>
        <w:t xml:space="preserve">1.2  Land Fragmentation &amp; The 44-Cent Problem</w:t>
      </w:r>
    </w:p>
    <w:p>
      <w:pPr>
        <w:pStyle w:val="ListParagraph"/>
        <w:numPr>
          <w:ilvl w:val="0"/>
          <w:numId w:val="2"/>
        </w:numPr>
        <w:spacing w:after="120" w:line="268"/>
      </w:pPr>
      <w:r>
        <w:rPr>
          <w:rFonts w:ascii="Calibri" w:cs="Calibri" w:eastAsia="Calibri" w:hAnsi="Calibri"/>
          <w:b/>
          <w:bCs/>
          <w:color w:val="0B4F3C"/>
          <w:sz w:val="21"/>
          <w:szCs w:val="21"/>
        </w:rPr>
        <w:t xml:space="preserve">Operational Fragment Burden:</w:t>
      </w:r>
      <w:r>
        <w:rPr>
          <w:rFonts w:ascii="Calibri" w:cs="Calibri" w:eastAsia="Calibri" w:hAnsi="Calibri"/>
          <w:color w:val="1F2421"/>
          <w:sz w:val="21"/>
          <w:szCs w:val="21"/>
        </w:rPr>
        <w:t xml:space="preserve"> The average agricultural/rural landholding in Ernakulam stands at 0.18 hectares (44 cents), with 96.7% of all holdings classified as marginal (&lt;1 hectare).</w:t>
      </w:r>
    </w:p>
    <w:p>
      <w:pPr>
        <w:pStyle w:val="ListParagraph"/>
        <w:numPr>
          <w:ilvl w:val="0"/>
          <w:numId w:val="2"/>
        </w:numPr>
        <w:spacing w:after="120" w:line="268"/>
      </w:pPr>
      <w:r>
        <w:rPr>
          <w:rFonts w:ascii="Calibri" w:cs="Calibri" w:eastAsia="Calibri" w:hAnsi="Calibri"/>
          <w:b/>
          <w:bCs/>
          <w:color w:val="0B4F3C"/>
          <w:sz w:val="21"/>
          <w:szCs w:val="21"/>
        </w:rPr>
        <w:t xml:space="preserve">Superlinear Acquisition Friction:</w:t>
      </w:r>
      <w:r>
        <w:rPr>
          <w:rFonts w:ascii="Calibri" w:cs="Calibri" w:eastAsia="Calibri" w:hAnsi="Calibri"/>
          <w:color w:val="1F2421"/>
          <w:sz w:val="21"/>
          <w:szCs w:val="21"/>
        </w:rPr>
        <w:t xml:space="preserve"> Assembling a single 100-acre industrial block under conventional eminent domain requires transacting with 220–280 distinct ownership interests, creating endless title disputes and litigation delays.</w:t>
      </w:r>
    </w:p>
    <w:p>
      <w:pPr>
        <w:pStyle w:val="ListParagraph"/>
        <w:numPr>
          <w:ilvl w:val="0"/>
          <w:numId w:val="2"/>
        </w:numPr>
        <w:spacing w:after="120" w:line="268"/>
      </w:pPr>
      <w:r>
        <w:rPr>
          <w:rFonts w:ascii="Calibri" w:cs="Calibri" w:eastAsia="Calibri" w:hAnsi="Calibri"/>
          <w:b/>
          <w:bCs/>
          <w:color w:val="0B4F3C"/>
          <w:sz w:val="21"/>
          <w:szCs w:val="21"/>
        </w:rPr>
        <w:t xml:space="preserve">The Equity Inversion:</w:t>
      </w:r>
      <w:r>
        <w:rPr>
          <w:rFonts w:ascii="Calibri" w:cs="Calibri" w:eastAsia="Calibri" w:hAnsi="Calibri"/>
          <w:color w:val="1F2421"/>
          <w:sz w:val="21"/>
          <w:szCs w:val="21"/>
        </w:rPr>
        <w:t xml:space="preserve"> A 44-cent holding cannot support commercial agriculture, turning the owner into a micro-landlord holding an illiquid asset. Offering cash triggers holdout behavior; offering 30%–40% returned serviced land inside an FSI 10.0x TOD node plus dividend-bearing SPV shares converts 20,000 potential veto-holders into active equity shareholders.</w:t>
      </w:r>
    </w:p>
    <w:p>
      <w:r>
        <w:br w:type="page"/>
      </w:r>
    </w:p>
    <w:p>
      <w:pPr>
        <w:pStyle w:val="Heading1"/>
        <w:pBdr>
          <w:bottom w:val="single" w:color="B08D2E" w:sz="12" w:space="6"/>
        </w:pBdr>
        <w:spacing w:after="240" w:before="480"/>
      </w:pPr>
      <w:r>
        <w:rPr>
          <w:rFonts w:ascii="Calibri" w:cs="Calibri" w:eastAsia="Calibri" w:hAnsi="Calibri"/>
          <w:b/>
          <w:bCs/>
          <w:color w:val="B08D2E"/>
          <w:sz w:val="22"/>
          <w:szCs w:val="22"/>
        </w:rPr>
        <w:t xml:space="preserve">SECTION 2  |  </w:t>
      </w:r>
      <w:r>
        <w:rPr>
          <w:rFonts w:ascii="Calibri" w:cs="Calibri" w:eastAsia="Calibri" w:hAnsi="Calibri"/>
          <w:b/>
          <w:bCs/>
          <w:color w:val="0B4F3C"/>
          <w:sz w:val="30"/>
          <w:szCs w:val="30"/>
        </w:rPr>
        <w:t xml:space="preserve">The 180-Degree Semi-Circular ORR Architecture</w:t>
      </w:r>
    </w:p>
    <w:p>
      <w:pPr>
        <w:pStyle w:val="Heading2"/>
        <w:spacing w:after="160" w:before="320"/>
      </w:pPr>
      <w:r>
        <w:rPr>
          <w:rFonts w:ascii="Calibri" w:cs="Calibri" w:eastAsia="Calibri" w:hAnsi="Calibri"/>
          <w:b/>
          <w:bCs/>
          <w:color w:val="146C4F"/>
          <w:sz w:val="25"/>
          <w:szCs w:val="25"/>
        </w:rPr>
        <w:t xml:space="preserve">2.1  Why 180 Degrees?</w:t>
      </w:r>
    </w:p>
    <w:p>
      <w:pPr>
        <w:spacing w:after="160" w:before="0" w:line="276"/>
      </w:pPr>
      <w:r>
        <w:rPr>
          <w:rFonts w:ascii="Calibri" w:cs="Calibri" w:eastAsia="Calibri" w:hAnsi="Calibri"/>
          <w:color w:val="1F2421"/>
          <w:sz w:val="21"/>
          <w:szCs w:val="21"/>
        </w:rPr>
        <w:t xml:space="preserve">Unlike inland metropolises (e.g., Hyderabad, Bengaluru) that can construct 360-degree ring roads, Kochi's western coastal boundary along the Arabian Sea and Vembanad estuarine system restricts spatial expansion to a 180-degree semi-circular arc. Building a western marine arc across estuarine wetlands would cost ₹250–400 Crore/km, trigger severe CRZ-IA environmental litigation, and provide zero freight utility.</w:t>
      </w:r>
    </w:p>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0B4F3C" w:sz="4"/>
              <w:left w:val="single" w:color="0B4F3C" w:sz="4"/>
              <w:bottom w:val="single" w:color="0B4F3C" w:sz="4"/>
              <w:right w:val="single" w:color="0B4F3C" w:sz="4"/>
            </w:tcBorders>
            <w:shd w:fill="0B4F3C" w:val="clear"/>
            <w:tcMar>
              <w:top w:type="dxa" w:w="110"/>
              <w:left w:type="dxa" w:w="160"/>
              <w:bottom w:type="dxa" w:w="110"/>
              <w:right w:type="dxa" w:w="160"/>
            </w:tcMar>
          </w:tcPr>
          <w:p>
            <w:pPr>
              <w:jc w:val="center"/>
            </w:pPr>
            <w:r>
              <w:rPr>
                <w:rFonts w:ascii="Calibri" w:cs="Calibri" w:eastAsia="Calibri" w:hAnsi="Calibri"/>
                <w:b/>
                <w:bCs/>
                <w:color w:val="FFFFFF"/>
                <w:sz w:val="21"/>
                <w:szCs w:val="21"/>
              </w:rPr>
              <w:t xml:space="preserve">THE 180-DEGREE KOCHI SEMI-CIRCULAR ORR ARCHITECTURE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North Terminus</w:t>
            </w:r>
          </w:p>
          <w:p>
            <w:pPr>
              <w:spacing w:before="20"/>
            </w:pPr>
            <w:r>
              <w:rPr>
                <w:rFonts w:ascii="Calibri" w:cs="Calibri" w:eastAsia="Calibri" w:hAnsi="Calibri"/>
                <w:color w:val="1F2421"/>
                <w:sz w:val="18"/>
                <w:szCs w:val="18"/>
              </w:rPr>
              <w:t xml:space="preserve">Kodungallur Trumpet Interchange (NH-66 / Malabar) — Phase 2 Extension</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Mid-North Node</w:t>
            </w:r>
          </w:p>
          <w:p>
            <w:pPr>
              <w:spacing w:before="20"/>
            </w:pPr>
            <w:r>
              <w:rPr>
                <w:rFonts w:ascii="Calibri" w:cs="Calibri" w:eastAsia="Calibri" w:hAnsi="Calibri"/>
                <w:color w:val="1F2421"/>
                <w:sz w:val="18"/>
                <w:szCs w:val="18"/>
              </w:rPr>
              <w:t xml:space="preserve">Angamaly (NH-544) &amp; Mattoor (CIAL Air-Cargo Link) — Phase 1 Core Axis</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Eastern Hub</w:t>
            </w:r>
          </w:p>
          <w:p>
            <w:pPr>
              <w:spacing w:before="20"/>
            </w:pPr>
            <w:r>
              <w:rPr>
                <w:rFonts w:ascii="Calibri" w:cs="Calibri" w:eastAsia="Calibri" w:hAnsi="Calibri"/>
                <w:color w:val="1F2421"/>
                <w:sz w:val="18"/>
                <w:szCs w:val="18"/>
              </w:rPr>
              <w:t xml:space="preserve">Puthencruz FTWZ &amp; Thrippunithura Directional Interchange</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South Terminus</w:t>
            </w:r>
          </w:p>
          <w:p>
            <w:pPr>
              <w:spacing w:before="20"/>
            </w:pPr>
            <w:r>
              <w:rPr>
                <w:rFonts w:ascii="Calibri" w:cs="Calibri" w:eastAsia="Calibri" w:hAnsi="Calibri"/>
                <w:color w:val="1F2421"/>
                <w:sz w:val="18"/>
                <w:szCs w:val="18"/>
              </w:rPr>
              <w:t xml:space="preserve">Aroor Mega Cloverleaf (NH-66 / Port / Elevated)</w:t>
            </w:r>
          </w:p>
        </w:tc>
      </w:tr>
    </w:tbl>
    <w:p>
      <w:pPr>
        <w:spacing w:after="200"/>
      </w:pPr>
    </w:p>
    <w:p>
      <w:pPr>
        <w:pStyle w:val="Heading2"/>
        <w:spacing w:after="160" w:before="320"/>
      </w:pPr>
      <w:r>
        <w:rPr>
          <w:rFonts w:ascii="Calibri" w:cs="Calibri" w:eastAsia="Calibri" w:hAnsi="Calibri"/>
          <w:b/>
          <w:bCs/>
          <w:color w:val="146C4F"/>
          <w:sz w:val="25"/>
          <w:szCs w:val="25"/>
        </w:rPr>
        <w:t xml:space="preserve">2.2  Operational Phasing</w:t>
      </w:r>
    </w:p>
    <w:p>
      <w:pPr>
        <w:pStyle w:val="ListParagraph"/>
        <w:numPr>
          <w:ilvl w:val="0"/>
          <w:numId w:val="2"/>
        </w:numPr>
        <w:spacing w:after="120" w:line="268"/>
      </w:pPr>
      <w:r>
        <w:rPr>
          <w:rFonts w:ascii="Calibri" w:cs="Calibri" w:eastAsia="Calibri" w:hAnsi="Calibri"/>
          <w:b/>
          <w:bCs/>
          <w:color w:val="0B4F3C"/>
          <w:sz w:val="21"/>
          <w:szCs w:val="21"/>
        </w:rPr>
        <w:t xml:space="preserve">Phase 1 (The Core Southern &amp; Eastern Axis — 49.5 km):</w:t>
      </w:r>
      <w:r>
        <w:rPr>
          <w:rFonts w:ascii="Calibri" w:cs="Calibri" w:eastAsia="Calibri" w:hAnsi="Calibri"/>
          <w:color w:val="1F2421"/>
          <w:sz w:val="21"/>
          <w:szCs w:val="21"/>
        </w:rPr>
        <w:t xml:space="preserve"> Spanning Karayamparambu/Angamaly (NH-544) → Mattoor → Puthencruz → Thrippunithura → Aroor (NH-66). This 8-to-10 lane, 70-meter RoW expressway bypasses the urban core, connecting Cochin International Airport (CIAL), the Kochi–Theni industrial route, and southern maritime port infrastructure.</w:t>
      </w:r>
    </w:p>
    <w:p>
      <w:pPr>
        <w:pStyle w:val="ListParagraph"/>
        <w:numPr>
          <w:ilvl w:val="0"/>
          <w:numId w:val="2"/>
        </w:numPr>
        <w:spacing w:after="120" w:line="268"/>
      </w:pPr>
      <w:r>
        <w:rPr>
          <w:rFonts w:ascii="Calibri" w:cs="Calibri" w:eastAsia="Calibri" w:hAnsi="Calibri"/>
          <w:b/>
          <w:bCs/>
          <w:color w:val="0B4F3C"/>
          <w:sz w:val="21"/>
          <w:szCs w:val="21"/>
        </w:rPr>
        <w:t xml:space="preserve">Phase 2 (The Northern Extension — 28–34 km):</w:t>
      </w:r>
      <w:r>
        <w:rPr>
          <w:rFonts w:ascii="Calibri" w:cs="Calibri" w:eastAsia="Calibri" w:hAnsi="Calibri"/>
          <w:color w:val="1F2421"/>
          <w:sz w:val="21"/>
          <w:szCs w:val="21"/>
        </w:rPr>
        <w:t xml:space="preserve"> Extends from the Angamaly/Thrippunithura grid northwest to a Trumpet Interchange at Kodungallur on NH-66. This extension absorbs Malabar-bound freight from Kozhikode and Thrissur before it reaches Aluva or Edappally.</w:t>
      </w:r>
    </w:p>
    <w:p>
      <w:r>
        <w:br w:type="page"/>
      </w:r>
    </w:p>
    <w:p>
      <w:pPr>
        <w:pStyle w:val="Heading1"/>
        <w:pBdr>
          <w:bottom w:val="single" w:color="B08D2E" w:sz="12" w:space="6"/>
        </w:pBdr>
        <w:spacing w:after="240" w:before="480"/>
      </w:pPr>
      <w:r>
        <w:rPr>
          <w:rFonts w:ascii="Calibri" w:cs="Calibri" w:eastAsia="Calibri" w:hAnsi="Calibri"/>
          <w:b/>
          <w:bCs/>
          <w:color w:val="B08D2E"/>
          <w:sz w:val="22"/>
          <w:szCs w:val="22"/>
        </w:rPr>
        <w:t xml:space="preserve">SECTION 3  |  </w:t>
      </w:r>
      <w:r>
        <w:rPr>
          <w:rFonts w:ascii="Calibri" w:cs="Calibri" w:eastAsia="Calibri" w:hAnsi="Calibri"/>
          <w:b/>
          <w:bCs/>
          <w:color w:val="0B4F3C"/>
          <w:sz w:val="30"/>
          <w:szCs w:val="30"/>
        </w:rPr>
        <w:t xml:space="preserve">Grade-Separated Interchange Architecture</w:t>
      </w:r>
    </w:p>
    <w:p>
      <w:pPr>
        <w:spacing w:after="160" w:before="0" w:line="276"/>
      </w:pPr>
      <w:r>
        <w:rPr>
          <w:rFonts w:ascii="Calibri" w:cs="Calibri" w:eastAsia="Calibri" w:hAnsi="Calibri"/>
          <w:color w:val="1F2421"/>
          <w:sz w:val="21"/>
          <w:szCs w:val="21"/>
        </w:rPr>
        <w:t xml:space="preserve">To maintain 100 km/h design speeds across the mainline, traditional intersections are replaced with grade-separated interchanges at four critical nodes: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0B4F3C" w:sz="4"/>
              <w:left w:val="single" w:color="0B4F3C" w:sz="4"/>
              <w:bottom w:val="single" w:color="0B4F3C" w:sz="4"/>
              <w:right w:val="single" w:color="0B4F3C" w:sz="4"/>
            </w:tcBorders>
            <w:shd w:fill="0B4F3C" w:val="clear"/>
            <w:tcMar>
              <w:top w:type="dxa" w:w="110"/>
              <w:left w:type="dxa" w:w="160"/>
              <w:bottom w:type="dxa" w:w="110"/>
              <w:right w:type="dxa" w:w="160"/>
            </w:tcMar>
          </w:tcPr>
          <w:p>
            <w:r>
              <w:rPr>
                <w:rFonts w:ascii="Calibri" w:cs="Calibri" w:eastAsia="Calibri" w:hAnsi="Calibri"/>
                <w:b/>
                <w:bCs/>
                <w:color w:val="FFFFFF"/>
                <w:sz w:val="21"/>
                <w:szCs w:val="21"/>
              </w:rPr>
              <w:t xml:space="preserve">THE FOUR STRATEGIC INTERCHANGE NODES</w:t>
            </w:r>
          </w:p>
        </w:tc>
      </w:tr>
      <w:tr>
        <w:tc>
          <w:tcPr>
            <w:tcW w:type="dxa" w:w="9350"/>
            <w:tcBorders>
              <w:top w:val="single" w:color="C9D2CD" w:sz="4"/>
              <w:left w:val="single" w:color="C9D2CD" w:sz="4"/>
              <w:bottom w:val="single" w:color="C9D2CD" w:sz="4"/>
              <w:right w:val="single" w:color="C9D2CD" w:sz="4"/>
            </w:tcBorders>
            <w:shd w:fill="EAF3EF" w:val="clear"/>
            <w:tcMar>
              <w:top w:type="dxa" w:w="80"/>
              <w:left w:type="dxa" w:w="220"/>
              <w:bottom w:type="dxa" w:w="80"/>
              <w:right w:type="dxa" w:w="160"/>
            </w:tcMar>
          </w:tcPr>
          <w:p>
            <w:pPr>
              <w:spacing w:after="40"/>
            </w:pPr>
            <w:r>
              <w:rPr>
                <w:rFonts w:ascii="Calibri" w:cs="Calibri" w:eastAsia="Calibri" w:hAnsi="Calibri"/>
                <w:b/>
                <w:bCs/>
                <w:i w:val="false"/>
                <w:iCs w:val="false"/>
                <w:color w:val="0B4F3C"/>
                <w:sz w:val="19"/>
                <w:szCs w:val="19"/>
              </w:rPr>
              <w:t xml:space="preserve">1.  AROOR MEGA CLOVERLEAF INTERCHANGE</w:t>
            </w:r>
          </w:p>
        </w:tc>
      </w:tr>
      <w:tr>
        <w:tc>
          <w:tcPr>
            <w:tcW w:type="dxa" w:w="9350"/>
            <w:tcBorders>
              <w:top w:val="single" w:color="C9D2CD" w:sz="4"/>
              <w:left w:val="single" w:color="C9D2CD" w:sz="4"/>
              <w:bottom w:val="single" w:color="C9D2CD" w:sz="4"/>
              <w:right w:val="single" w:color="C9D2CD" w:sz="4"/>
            </w:tcBorders>
            <w:shd w:fill="FFFFFF" w:val="clear"/>
            <w:tcMar>
              <w:top w:type="dxa" w:w="80"/>
              <w:left w:type="dxa" w:w="220"/>
              <w:bottom w:type="dxa" w:w="80"/>
              <w:right w:type="dxa" w:w="160"/>
            </w:tcMar>
          </w:tcPr>
          <w:p>
            <w:pPr>
              <w:spacing w:after="40"/>
            </w:pPr>
            <w:r>
              <w:rPr>
                <w:rFonts w:ascii="Calibri" w:cs="Calibri" w:eastAsia="Calibri" w:hAnsi="Calibri"/>
                <w:b w:val="false"/>
                <w:bCs w:val="false"/>
                <w:i w:val="false"/>
                <w:iCs w:val="false"/>
                <w:color w:val="1F2421"/>
                <w:sz w:val="19"/>
                <w:szCs w:val="19"/>
              </w:rPr>
              <w:t xml:space="preserve">ORR 8-to-10 Lane Mainline  ·  Aroor–Thuravoor 12.75-km Elevated Highway (NH-66 South)  ·  Vallarpadam Port Access Heavy-Freight Road  ·  At-Grade NH-66 Coastal Arterial towards Edappally</w:t>
            </w:r>
          </w:p>
        </w:tc>
      </w:tr>
      <w:tr>
        <w:tc>
          <w:tcPr>
            <w:tcW w:type="dxa" w:w="9350"/>
            <w:tcBorders>
              <w:top w:val="single" w:color="C9D2CD" w:sz="4"/>
              <w:left w:val="single" w:color="C9D2CD" w:sz="4"/>
              <w:bottom w:val="single" w:color="C9D2CD" w:sz="4"/>
              <w:right w:val="single" w:color="C9D2CD" w:sz="4"/>
            </w:tcBorders>
            <w:shd w:fill="EAF3EF" w:val="clear"/>
            <w:tcMar>
              <w:top w:type="dxa" w:w="80"/>
              <w:left w:type="dxa" w:w="220"/>
              <w:bottom w:type="dxa" w:w="80"/>
              <w:right w:type="dxa" w:w="160"/>
            </w:tcMar>
          </w:tcPr>
          <w:p>
            <w:pPr>
              <w:spacing w:after="40"/>
            </w:pPr>
            <w:r>
              <w:rPr>
                <w:rFonts w:ascii="Calibri" w:cs="Calibri" w:eastAsia="Calibri" w:hAnsi="Calibri"/>
                <w:b/>
                <w:bCs/>
                <w:i w:val="false"/>
                <w:iCs w:val="false"/>
                <w:color w:val="0B4F3C"/>
                <w:sz w:val="19"/>
                <w:szCs w:val="19"/>
              </w:rPr>
              <w:t xml:space="preserve">2.  THRIPPUNITHURA DIRECTIONAL INTERCHANGE</w:t>
            </w:r>
          </w:p>
        </w:tc>
      </w:tr>
      <w:tr>
        <w:tc>
          <w:tcPr>
            <w:tcW w:type="dxa" w:w="9350"/>
            <w:tcBorders>
              <w:top w:val="single" w:color="C9D2CD" w:sz="4"/>
              <w:left w:val="single" w:color="C9D2CD" w:sz="4"/>
              <w:bottom w:val="single" w:color="C9D2CD" w:sz="4"/>
              <w:right w:val="single" w:color="C9D2CD" w:sz="4"/>
            </w:tcBorders>
            <w:shd w:fill="FFFFFF" w:val="clear"/>
            <w:tcMar>
              <w:top w:type="dxa" w:w="80"/>
              <w:left w:type="dxa" w:w="220"/>
              <w:bottom w:type="dxa" w:w="80"/>
              <w:right w:type="dxa" w:w="160"/>
            </w:tcMar>
          </w:tcPr>
          <w:p>
            <w:pPr>
              <w:spacing w:after="40"/>
            </w:pPr>
            <w:r>
              <w:rPr>
                <w:rFonts w:ascii="Calibri" w:cs="Calibri" w:eastAsia="Calibri" w:hAnsi="Calibri"/>
                <w:b w:val="false"/>
                <w:bCs w:val="false"/>
                <w:i w:val="false"/>
                <w:iCs w:val="false"/>
                <w:color w:val="1F2421"/>
                <w:sz w:val="19"/>
                <w:szCs w:val="19"/>
              </w:rPr>
              <w:t xml:space="preserve">ORR Eastern Expressway Spine  ·  RoW Spatial Reservation for Kochi–Theni Corridor  ·  Suburban Commuter Feeders</w:t>
            </w:r>
          </w:p>
        </w:tc>
      </w:tr>
      <w:tr>
        <w:tc>
          <w:tcPr>
            <w:tcW w:type="dxa" w:w="9350"/>
            <w:tcBorders>
              <w:top w:val="single" w:color="C9D2CD" w:sz="4"/>
              <w:left w:val="single" w:color="C9D2CD" w:sz="4"/>
              <w:bottom w:val="single" w:color="C9D2CD" w:sz="4"/>
              <w:right w:val="single" w:color="C9D2CD" w:sz="4"/>
            </w:tcBorders>
            <w:shd w:fill="EAF3EF" w:val="clear"/>
            <w:tcMar>
              <w:top w:type="dxa" w:w="80"/>
              <w:left w:type="dxa" w:w="220"/>
              <w:bottom w:type="dxa" w:w="80"/>
              <w:right w:type="dxa" w:w="160"/>
            </w:tcMar>
          </w:tcPr>
          <w:p>
            <w:pPr>
              <w:spacing w:after="40"/>
            </w:pPr>
            <w:r>
              <w:rPr>
                <w:rFonts w:ascii="Calibri" w:cs="Calibri" w:eastAsia="Calibri" w:hAnsi="Calibri"/>
                <w:b/>
                <w:bCs/>
                <w:i w:val="false"/>
                <w:iCs w:val="false"/>
                <w:color w:val="0B4F3C"/>
                <w:sz w:val="19"/>
                <w:szCs w:val="19"/>
              </w:rPr>
              <w:t xml:space="preserve">3.  KODUNGALLUR TRUMPET FLYOVER INTERCHANGE (Phase 2)</w:t>
            </w:r>
          </w:p>
        </w:tc>
      </w:tr>
      <w:tr>
        <w:tc>
          <w:tcPr>
            <w:tcW w:type="dxa" w:w="9350"/>
            <w:tcBorders>
              <w:top w:val="single" w:color="C9D2CD" w:sz="4"/>
              <w:left w:val="single" w:color="C9D2CD" w:sz="4"/>
              <w:bottom w:val="single" w:color="C9D2CD" w:sz="4"/>
              <w:right w:val="single" w:color="C9D2CD" w:sz="4"/>
            </w:tcBorders>
            <w:shd w:fill="FFFFFF" w:val="clear"/>
            <w:tcMar>
              <w:top w:type="dxa" w:w="80"/>
              <w:left w:type="dxa" w:w="220"/>
              <w:bottom w:type="dxa" w:w="80"/>
              <w:right w:type="dxa" w:w="160"/>
            </w:tcMar>
          </w:tcPr>
          <w:p>
            <w:pPr>
              <w:spacing w:after="40"/>
            </w:pPr>
            <w:r>
              <w:rPr>
                <w:rFonts w:ascii="Calibri" w:cs="Calibri" w:eastAsia="Calibri" w:hAnsi="Calibri"/>
                <w:b w:val="false"/>
                <w:bCs w:val="false"/>
                <w:i w:val="false"/>
                <w:iCs w:val="false"/>
                <w:color w:val="1F2421"/>
                <w:sz w:val="19"/>
                <w:szCs w:val="19"/>
              </w:rPr>
              <w:t xml:space="preserve">Phase 2 Northern ORR Mainline Extension  ·  NH-66 Coastal Arterial (Malabar Transit Pipeline)</w:t>
            </w:r>
          </w:p>
        </w:tc>
      </w:tr>
      <w:tr>
        <w:tc>
          <w:tcPr>
            <w:tcW w:type="dxa" w:w="9350"/>
            <w:tcBorders>
              <w:top w:val="single" w:color="C9D2CD" w:sz="4"/>
              <w:left w:val="single" w:color="C9D2CD" w:sz="4"/>
              <w:bottom w:val="single" w:color="C9D2CD" w:sz="4"/>
              <w:right w:val="single" w:color="C9D2CD" w:sz="4"/>
            </w:tcBorders>
            <w:shd w:fill="EAF3EF" w:val="clear"/>
            <w:tcMar>
              <w:top w:type="dxa" w:w="80"/>
              <w:left w:type="dxa" w:w="220"/>
              <w:bottom w:type="dxa" w:w="80"/>
              <w:right w:type="dxa" w:w="160"/>
            </w:tcMar>
          </w:tcPr>
          <w:p>
            <w:pPr>
              <w:spacing w:after="40"/>
            </w:pPr>
            <w:r>
              <w:rPr>
                <w:rFonts w:ascii="Calibri" w:cs="Calibri" w:eastAsia="Calibri" w:hAnsi="Calibri"/>
                <w:b/>
                <w:bCs/>
                <w:i w:val="false"/>
                <w:iCs w:val="false"/>
                <w:color w:val="0B4F3C"/>
                <w:sz w:val="19"/>
                <w:szCs w:val="19"/>
              </w:rPr>
              <w:t xml:space="preserve">4.  MATTOOR 2-KM DEDICATED AIR-CARGO CONNECTOR SPUR</w:t>
            </w:r>
          </w:p>
        </w:tc>
      </w:tr>
      <w:tr>
        <w:tc>
          <w:tcPr>
            <w:tcW w:type="dxa" w:w="9350"/>
            <w:tcBorders>
              <w:top w:val="single" w:color="C9D2CD" w:sz="4"/>
              <w:left w:val="single" w:color="C9D2CD" w:sz="4"/>
              <w:bottom w:val="single" w:color="C9D2CD" w:sz="4"/>
              <w:right w:val="single" w:color="C9D2CD" w:sz="4"/>
            </w:tcBorders>
            <w:shd w:fill="FFFFFF" w:val="clear"/>
            <w:tcMar>
              <w:top w:type="dxa" w:w="80"/>
              <w:left w:type="dxa" w:w="220"/>
              <w:bottom w:type="dxa" w:w="80"/>
              <w:right w:type="dxa" w:w="160"/>
            </w:tcMar>
          </w:tcPr>
          <w:p>
            <w:pPr>
              <w:spacing w:after="40"/>
            </w:pPr>
            <w:r>
              <w:rPr>
                <w:rFonts w:ascii="Calibri" w:cs="Calibri" w:eastAsia="Calibri" w:hAnsi="Calibri"/>
                <w:b w:val="false"/>
                <w:bCs w:val="false"/>
                <w:i w:val="false"/>
                <w:iCs w:val="false"/>
                <w:color w:val="1F2421"/>
                <w:sz w:val="19"/>
                <w:szCs w:val="19"/>
              </w:rPr>
              <w:t xml:space="preserve">Direct Bonded Freight Link to CIAL Terminals  ·  Sub-40 Minute Sea-Air Transshipment Axis</w:t>
            </w:r>
          </w:p>
        </w:tc>
      </w:tr>
    </w:tbl>
    <w:p>
      <w:pPr>
        <w:spacing w:after="220"/>
      </w:pPr>
    </w:p>
    <w:p>
      <w:pPr>
        <w:pStyle w:val="Heading2"/>
        <w:spacing w:after="160" w:before="320"/>
      </w:pPr>
      <w:r>
        <w:rPr>
          <w:rFonts w:ascii="Calibri" w:cs="Calibri" w:eastAsia="Calibri" w:hAnsi="Calibri"/>
          <w:b/>
          <w:bCs/>
          <w:color w:val="146C4F"/>
          <w:sz w:val="25"/>
          <w:szCs w:val="25"/>
        </w:rPr>
        <w:t xml:space="preserve">3.1  Interchange Engineering Specifications</w:t>
      </w:r>
    </w:p>
    <w:p>
      <w:pPr>
        <w:pStyle w:val="ListParagraph"/>
        <w:numPr>
          <w:ilvl w:val="0"/>
          <w:numId w:val="3"/>
        </w:numPr>
        <w:spacing w:after="140" w:line="268"/>
      </w:pPr>
      <w:r>
        <w:rPr>
          <w:rFonts w:ascii="Calibri" w:cs="Calibri" w:eastAsia="Calibri" w:hAnsi="Calibri"/>
          <w:b/>
          <w:bCs/>
          <w:color w:val="0B4F3C"/>
          <w:sz w:val="21"/>
          <w:szCs w:val="21"/>
        </w:rPr>
        <w:t xml:space="preserve">Aroor Mega Cloverleaf Interchange:</w:t>
      </w:r>
      <w:r>
        <w:rPr>
          <w:rFonts w:ascii="Calibri" w:cs="Calibri" w:eastAsia="Calibri" w:hAnsi="Calibri"/>
          <w:color w:val="1F2421"/>
          <w:sz w:val="21"/>
          <w:szCs w:val="21"/>
        </w:rPr>
        <w:t xml:space="preserve"> A 3-level compressed cloverleaf with two directional flyovers on a 55–65 acre lagoon-edge footprint. It handles four distinct traffic streams: Level 0 (local NH-66), Level +1 (ORR Mainline), Level +2 (Aroor–Thuravoor Elevated Highway), and dedicated semi-directional ramps for Vallarpadam ICTT container tractor-trailers.</w:t>
      </w:r>
    </w:p>
    <w:p>
      <w:pPr>
        <w:pStyle w:val="ListParagraph"/>
        <w:numPr>
          <w:ilvl w:val="0"/>
          <w:numId w:val="3"/>
        </w:numPr>
        <w:spacing w:after="140" w:line="268"/>
      </w:pPr>
      <w:r>
        <w:rPr>
          <w:rFonts w:ascii="Calibri" w:cs="Calibri" w:eastAsia="Calibri" w:hAnsi="Calibri"/>
          <w:b/>
          <w:bCs/>
          <w:color w:val="0B4F3C"/>
          <w:sz w:val="21"/>
          <w:szCs w:val="21"/>
        </w:rPr>
        <w:t xml:space="preserve">Thrippunithura Directional Interchange:</w:t>
      </w:r>
      <w:r>
        <w:rPr>
          <w:rFonts w:ascii="Calibri" w:cs="Calibri" w:eastAsia="Calibri" w:hAnsi="Calibri"/>
          <w:color w:val="1F2421"/>
          <w:sz w:val="21"/>
          <w:szCs w:val="21"/>
        </w:rPr>
        <w:t xml:space="preserve"> A signal-free 3-level directional interchange connecting the eastern suburbs. Crucially, 40–45 acres of additional Right-of-Way (RoW) spatial reservation are frozen now in the northeast and southeast quadrants to accommodate the future 4-level systems interchange for the greenfield Kochi–Theni Industrial Corridor.</w:t>
      </w:r>
    </w:p>
    <w:p>
      <w:pPr>
        <w:pStyle w:val="ListParagraph"/>
        <w:numPr>
          <w:ilvl w:val="0"/>
          <w:numId w:val="3"/>
        </w:numPr>
        <w:spacing w:after="140" w:line="268"/>
      </w:pPr>
      <w:r>
        <w:rPr>
          <w:rFonts w:ascii="Calibri" w:cs="Calibri" w:eastAsia="Calibri" w:hAnsi="Calibri"/>
          <w:b/>
          <w:bCs/>
          <w:color w:val="0B4F3C"/>
          <w:sz w:val="21"/>
          <w:szCs w:val="21"/>
        </w:rPr>
        <w:t xml:space="preserve">Kodungallur Trumpet Flyover Interchange (Phase 2):</w:t>
      </w:r>
      <w:r>
        <w:rPr>
          <w:rFonts w:ascii="Calibri" w:cs="Calibri" w:eastAsia="Calibri" w:hAnsi="Calibri"/>
          <w:color w:val="1F2421"/>
          <w:sz w:val="21"/>
          <w:szCs w:val="21"/>
        </w:rPr>
        <w:t xml:space="preserve"> A compact 28–32 acre trumpet interchange connecting the Phase 2 extension to NH-66 North, co-located with a 25-acre regional logistics and bus interception depot.</w:t>
      </w:r>
    </w:p>
    <w:p>
      <w:pPr>
        <w:pStyle w:val="ListParagraph"/>
        <w:numPr>
          <w:ilvl w:val="0"/>
          <w:numId w:val="3"/>
        </w:numPr>
        <w:spacing w:after="140" w:line="268"/>
      </w:pPr>
      <w:r>
        <w:rPr>
          <w:rFonts w:ascii="Calibri" w:cs="Calibri" w:eastAsia="Calibri" w:hAnsi="Calibri"/>
          <w:b/>
          <w:bCs/>
          <w:color w:val="0B4F3C"/>
          <w:sz w:val="21"/>
          <w:szCs w:val="21"/>
        </w:rPr>
        <w:t xml:space="preserve">Mattoor 2-km Dedicated Air-Cargo Connector Spur:</w:t>
      </w:r>
      <w:r>
        <w:rPr>
          <w:rFonts w:ascii="Calibri" w:cs="Calibri" w:eastAsia="Calibri" w:hAnsi="Calibri"/>
          <w:color w:val="1F2421"/>
          <w:sz w:val="21"/>
          <w:szCs w:val="21"/>
        </w:rPr>
        <w:t xml:space="preserve"> A 4-lane access-controlled spur road taking off from the ORR mainline directly into CIAL's air-cargo complex, featuring a 10-acre bonded truck-marshalling yard and reducing sea-air transit times between Vallarpadam and CIAL from 120 minutes to under 40 minutes.</w:t>
      </w:r>
    </w:p>
    <w:p>
      <w:r>
        <w:br w:type="page"/>
      </w:r>
    </w:p>
    <w:p>
      <w:pPr>
        <w:pStyle w:val="Heading1"/>
        <w:pBdr>
          <w:bottom w:val="single" w:color="B08D2E" w:sz="12" w:space="6"/>
        </w:pBdr>
        <w:spacing w:after="240" w:before="480"/>
      </w:pPr>
      <w:r>
        <w:rPr>
          <w:rFonts w:ascii="Calibri" w:cs="Calibri" w:eastAsia="Calibri" w:hAnsi="Calibri"/>
          <w:b/>
          <w:bCs/>
          <w:color w:val="B08D2E"/>
          <w:sz w:val="22"/>
          <w:szCs w:val="22"/>
        </w:rPr>
        <w:t xml:space="preserve">SECTION 4  |  </w:t>
      </w:r>
      <w:r>
        <w:rPr>
          <w:rFonts w:ascii="Calibri" w:cs="Calibri" w:eastAsia="Calibri" w:hAnsi="Calibri"/>
          <w:b/>
          <w:bCs/>
          <w:color w:val="0B4F3C"/>
          <w:sz w:val="30"/>
          <w:szCs w:val="30"/>
        </w:rPr>
        <w:t xml:space="preserve">Granular GIS Buffer &amp; Segment Pipeline Analysis (5-km Ribbon)</w:t>
      </w:r>
    </w:p>
    <w:p>
      <w:pPr>
        <w:spacing w:after="160" w:before="0" w:line="276"/>
      </w:pPr>
      <w:r>
        <w:rPr>
          <w:rFonts w:ascii="Calibri" w:cs="Calibri" w:eastAsia="Calibri" w:hAnsi="Calibri"/>
          <w:color w:val="1F2421"/>
          <w:sz w:val="21"/>
          <w:szCs w:val="21"/>
        </w:rPr>
        <w:t xml:space="preserve">Evaluating the 5-kilometer buffer ribbon along the 49.5-km alignment across the 20 notified revenue villages yields a developable land pool of 27,000 acres, from which a practical poolable land bank of 5,100 to 6,400 acres is targeted.</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0B4F3C" w:sz="4"/>
              <w:left w:val="single" w:color="0B4F3C" w:sz="4"/>
              <w:bottom w:val="single" w:color="0B4F3C" w:sz="4"/>
              <w:right w:val="single" w:color="0B4F3C" w:sz="4"/>
            </w:tcBorders>
            <w:shd w:fill="0B4F3C" w:val="clear"/>
            <w:tcMar>
              <w:top w:type="dxa" w:w="110"/>
              <w:left w:type="dxa" w:w="160"/>
              <w:bottom w:type="dxa" w:w="110"/>
              <w:right w:type="dxa" w:w="160"/>
            </w:tcMar>
          </w:tcPr>
          <w:p>
            <w:pPr>
              <w:jc w:val="center"/>
            </w:pPr>
            <w:r>
              <w:rPr>
                <w:rFonts w:ascii="Calibri" w:cs="Calibri" w:eastAsia="Calibri" w:hAnsi="Calibri"/>
                <w:b/>
                <w:bCs/>
                <w:color w:val="FFFFFF"/>
                <w:sz w:val="21"/>
                <w:szCs w:val="21"/>
              </w:rPr>
              <w:t xml:space="preserve">KOCHI ORR 5-KM BUFFER LAND POTENTIAL PROFILE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Total Buffer Area (500 sq km)</w:t>
            </w:r>
          </w:p>
          <w:p>
            <w:pPr>
              <w:spacing w:before="20"/>
            </w:pPr>
            <w:r>
              <w:rPr>
                <w:rFonts w:ascii="Calibri" w:cs="Calibri" w:eastAsia="Calibri" w:hAnsi="Calibri"/>
                <w:color w:val="1F2421"/>
                <w:sz w:val="18"/>
                <w:szCs w:val="18"/>
              </w:rPr>
              <w:t xml:space="preserve">123,550 Acres</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Built-Up &amp; Protected Exclusions (78%)</w:t>
            </w:r>
          </w:p>
          <w:p>
            <w:pPr>
              <w:spacing w:before="20"/>
            </w:pPr>
            <w:r>
              <w:rPr>
                <w:rFonts w:ascii="Calibri" w:cs="Calibri" w:eastAsia="Calibri" w:hAnsi="Calibri"/>
                <w:color w:val="1F2421"/>
                <w:sz w:val="18"/>
                <w:szCs w:val="18"/>
              </w:rPr>
              <w:t xml:space="preserve">96,550 Acres</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Developable / Fallow / Agricultural</w:t>
            </w:r>
          </w:p>
          <w:p>
            <w:pPr>
              <w:spacing w:before="20"/>
            </w:pPr>
            <w:r>
              <w:rPr>
                <w:rFonts w:ascii="Calibri" w:cs="Calibri" w:eastAsia="Calibri" w:hAnsi="Calibri"/>
                <w:color w:val="1F2421"/>
                <w:sz w:val="18"/>
                <w:szCs w:val="18"/>
              </w:rPr>
              <w:t xml:space="preserve">27,000 Acres</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Practical Poolable Land Bank (15–20%)</w:t>
            </w:r>
          </w:p>
          <w:p>
            <w:pPr>
              <w:spacing w:before="20"/>
            </w:pPr>
            <w:r>
              <w:rPr>
                <w:rFonts w:ascii="Calibri" w:cs="Calibri" w:eastAsia="Calibri" w:hAnsi="Calibri"/>
                <w:color w:val="1F2421"/>
                <w:sz w:val="18"/>
                <w:szCs w:val="18"/>
              </w:rPr>
              <w:t xml:space="preserve">5,100 to 6,400 ACRES</w:t>
            </w:r>
          </w:p>
        </w:tc>
      </w:tr>
    </w:tbl>
    <w:p>
      <w:pPr>
        <w:spacing w:after="220"/>
      </w:pPr>
    </w:p>
    <w:p>
      <w:pPr>
        <w:pStyle w:val="Heading2"/>
        <w:spacing w:after="160" w:before="320"/>
      </w:pPr>
      <w:r>
        <w:rPr>
          <w:rFonts w:ascii="Calibri" w:cs="Calibri" w:eastAsia="Calibri" w:hAnsi="Calibri"/>
          <w:b/>
          <w:bCs/>
          <w:color w:val="146C4F"/>
          <w:sz w:val="25"/>
          <w:szCs w:val="25"/>
        </w:rPr>
        <w:t xml:space="preserve">4.1  Segment-by-Segment Parcel Typology Matrix</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309"/>
        <w:gridCol w:w="1496"/>
        <w:gridCol w:w="935"/>
        <w:gridCol w:w="1029"/>
        <w:gridCol w:w="1029"/>
        <w:gridCol w:w="1122"/>
        <w:gridCol w:w="2431"/>
      </w:tblGrid>
      <w:tr>
        <w:trPr>
          <w:tblHeader/>
        </w:trPr>
        <w:tc>
          <w:tcPr>
            <w:tcW w:type="dxa" w:w="1309"/>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Segment</w:t>
            </w:r>
          </w:p>
        </w:tc>
        <w:tc>
          <w:tcPr>
            <w:tcW w:type="dxa" w:w="1496"/>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Notified Villages</w:t>
            </w:r>
          </w:p>
        </w:tc>
        <w:tc>
          <w:tcPr>
            <w:tcW w:type="dxa" w:w="935"/>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Small (1–2 ac)</w:t>
            </w:r>
          </w:p>
        </w:tc>
        <w:tc>
          <w:tcPr>
            <w:tcW w:type="dxa" w:w="1029"/>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Medium (5–10 ac)</w:t>
            </w:r>
          </w:p>
        </w:tc>
        <w:tc>
          <w:tcPr>
            <w:tcW w:type="dxa" w:w="1029"/>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Large (10–20+ ac)</w:t>
            </w:r>
          </w:p>
        </w:tc>
        <w:tc>
          <w:tcPr>
            <w:tcW w:type="dxa" w:w="1122"/>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Poolable Yield</w:t>
            </w:r>
          </w:p>
        </w:tc>
        <w:tc>
          <w:tcPr>
            <w:tcW w:type="dxa" w:w="2431"/>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Primary Land Use Focus</w:t>
            </w:r>
          </w:p>
        </w:tc>
      </w:tr>
      <w:tr>
        <w:tc>
          <w:tcPr>
            <w:tcW w:type="dxa" w:w="130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Segment 1
Northern Gateway</w:t>
            </w:r>
          </w:p>
        </w:tc>
        <w:tc>
          <w:tcPr>
            <w:tcW w:type="dxa" w:w="149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Angamaly, Karukutty, Thuravoor, Mattoor, Vadakkumbhagom, Kizhakkumbhagom</w:t>
            </w:r>
          </w:p>
        </w:tc>
        <w:tc>
          <w:tcPr>
            <w:tcW w:type="dxa" w:w="935"/>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180–220 ac</w:t>
            </w:r>
          </w:p>
        </w:tc>
        <w:tc>
          <w:tcPr>
            <w:tcW w:type="dxa" w:w="102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620–780 ac</w:t>
            </w:r>
          </w:p>
        </w:tc>
        <w:tc>
          <w:tcPr>
            <w:tcW w:type="dxa" w:w="102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650–800 ac</w:t>
            </w:r>
          </w:p>
        </w:tc>
        <w:tc>
          <w:tcPr>
            <w:tcW w:type="dxa" w:w="1122"/>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1,450–1,800 ac</w:t>
            </w:r>
          </w:p>
        </w:tc>
        <w:tc>
          <w:tcPr>
            <w:tcW w:type="dxa" w:w="2431"/>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CIAL Air-Cargo, GIFT City, Electronics Fabs</w:t>
            </w:r>
          </w:p>
        </w:tc>
      </w:tr>
      <w:tr>
        <w:tc>
          <w:tcPr>
            <w:tcW w:type="dxa" w:w="1309"/>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Segment 2
Perumbavoor Midland</w:t>
            </w:r>
          </w:p>
        </w:tc>
        <w:tc>
          <w:tcPr>
            <w:tcW w:type="dxa" w:w="1496"/>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Marampilly, Vengola, Arakkapady</w:t>
            </w:r>
          </w:p>
        </w:tc>
        <w:tc>
          <w:tcPr>
            <w:tcW w:type="dxa" w:w="935"/>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90–120 ac</w:t>
            </w:r>
          </w:p>
        </w:tc>
        <w:tc>
          <w:tcPr>
            <w:tcW w:type="dxa" w:w="1029"/>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380–480 ac</w:t>
            </w:r>
          </w:p>
        </w:tc>
        <w:tc>
          <w:tcPr>
            <w:tcW w:type="dxa" w:w="1029"/>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150–200 ac</w:t>
            </w:r>
          </w:p>
        </w:tc>
        <w:tc>
          <w:tcPr>
            <w:tcW w:type="dxa" w:w="1122"/>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620–800 ac</w:t>
            </w:r>
          </w:p>
        </w:tc>
        <w:tc>
          <w:tcPr>
            <w:tcW w:type="dxa" w:w="2431"/>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Brownfield Plywood Compound Conversion, Worker Housing</w:t>
            </w:r>
          </w:p>
        </w:tc>
      </w:tr>
      <w:tr>
        <w:tc>
          <w:tcPr>
            <w:tcW w:type="dxa" w:w="130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Segment 3
Eastern Plateau</w:t>
            </w:r>
          </w:p>
        </w:tc>
        <w:tc>
          <w:tcPr>
            <w:tcW w:type="dxa" w:w="149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Pattimattom, Vadavucode, Aikaranad N/S, Thiruvaniyoor</w:t>
            </w:r>
          </w:p>
        </w:tc>
        <w:tc>
          <w:tcPr>
            <w:tcW w:type="dxa" w:w="935"/>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150–190 ac</w:t>
            </w:r>
          </w:p>
        </w:tc>
        <w:tc>
          <w:tcPr>
            <w:tcW w:type="dxa" w:w="102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750–950 ac</w:t>
            </w:r>
          </w:p>
        </w:tc>
        <w:tc>
          <w:tcPr>
            <w:tcW w:type="dxa" w:w="102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800–960 ac</w:t>
            </w:r>
          </w:p>
        </w:tc>
        <w:tc>
          <w:tcPr>
            <w:tcW w:type="dxa" w:w="1122"/>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1,700–2,100 ac</w:t>
            </w:r>
          </w:p>
        </w:tc>
        <w:tc>
          <w:tcPr>
            <w:tcW w:type="dxa" w:w="2431"/>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Puthencruz FTWZ Dry Port, AI Data Center Parks</w:t>
            </w:r>
          </w:p>
        </w:tc>
      </w:tr>
      <w:tr>
        <w:tc>
          <w:tcPr>
            <w:tcW w:type="dxa" w:w="1309"/>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Segment 4
Metropolitan Interface</w:t>
            </w:r>
          </w:p>
        </w:tc>
        <w:tc>
          <w:tcPr>
            <w:tcW w:type="dxa" w:w="1496"/>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Thiruvankulam, Kureekkad, Maradu</w:t>
            </w:r>
          </w:p>
        </w:tc>
        <w:tc>
          <w:tcPr>
            <w:tcW w:type="dxa" w:w="935"/>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160–210 ac</w:t>
            </w:r>
          </w:p>
        </w:tc>
        <w:tc>
          <w:tcPr>
            <w:tcW w:type="dxa" w:w="1029"/>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200–260 ac</w:t>
            </w:r>
          </w:p>
        </w:tc>
        <w:tc>
          <w:tcPr>
            <w:tcW w:type="dxa" w:w="1029"/>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120–150 ac</w:t>
            </w:r>
          </w:p>
        </w:tc>
        <w:tc>
          <w:tcPr>
            <w:tcW w:type="dxa" w:w="1122"/>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480–620 ac</w:t>
            </w:r>
          </w:p>
        </w:tc>
        <w:tc>
          <w:tcPr>
            <w:tcW w:type="dxa" w:w="2431"/>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Karimugal Quarry Brownfield, High-FSI Commercial TOD</w:t>
            </w:r>
          </w:p>
        </w:tc>
      </w:tr>
      <w:tr>
        <w:tc>
          <w:tcPr>
            <w:tcW w:type="dxa" w:w="130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Segment 5
Southern Lagoon</w:t>
            </w:r>
          </w:p>
        </w:tc>
        <w:tc>
          <w:tcPr>
            <w:tcW w:type="dxa" w:w="149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Thekkumbhagam, Kumbalam, Aroor</w:t>
            </w:r>
          </w:p>
        </w:tc>
        <w:tc>
          <w:tcPr>
            <w:tcW w:type="dxa" w:w="935"/>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110–150 ac</w:t>
            </w:r>
          </w:p>
        </w:tc>
        <w:tc>
          <w:tcPr>
            <w:tcW w:type="dxa" w:w="102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130–170 ac</w:t>
            </w:r>
          </w:p>
        </w:tc>
        <w:tc>
          <w:tcPr>
            <w:tcW w:type="dxa" w:w="102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110–150 ac</w:t>
            </w:r>
          </w:p>
        </w:tc>
        <w:tc>
          <w:tcPr>
            <w:tcW w:type="dxa" w:w="1122"/>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350–470 ac</w:t>
            </w:r>
          </w:p>
        </w:tc>
        <w:tc>
          <w:tcPr>
            <w:tcW w:type="dxa" w:w="2431"/>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Ship Repair, Green Bunkering, AUV Marine Robotics</w:t>
            </w:r>
          </w:p>
        </w:tc>
      </w:tr>
      <w:tr>
        <w:tc>
          <w:tcPr>
            <w:tcW w:type="dxa" w:w="1309"/>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MASTER TOTALS</w:t>
            </w:r>
          </w:p>
        </w:tc>
        <w:tc>
          <w:tcPr>
            <w:tcW w:type="dxa" w:w="1496"/>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20 Revenue Villages / 4 Taluks</w:t>
            </w:r>
          </w:p>
        </w:tc>
        <w:tc>
          <w:tcPr>
            <w:tcW w:type="dxa" w:w="935"/>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690–890 ac</w:t>
            </w:r>
          </w:p>
        </w:tc>
        <w:tc>
          <w:tcPr>
            <w:tcW w:type="dxa" w:w="1029"/>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2,080–2,640 ac</w:t>
            </w:r>
          </w:p>
        </w:tc>
        <w:tc>
          <w:tcPr>
            <w:tcW w:type="dxa" w:w="1029"/>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1,830–2,260 ac</w:t>
            </w:r>
          </w:p>
        </w:tc>
        <w:tc>
          <w:tcPr>
            <w:tcW w:type="dxa" w:w="1122"/>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5,100–6,400 ac</w:t>
            </w:r>
          </w:p>
        </w:tc>
        <w:tc>
          <w:tcPr>
            <w:tcW w:type="dxa" w:w="2431"/>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Integrated K-GBA Metropolitan Grid</w:t>
            </w:r>
          </w:p>
        </w:tc>
      </w:tr>
    </w:tbl>
    <w:p>
      <w:r>
        <w:br w:type="page"/>
      </w:r>
    </w:p>
    <w:p>
      <w:pPr>
        <w:pStyle w:val="Heading1"/>
        <w:pBdr>
          <w:bottom w:val="single" w:color="B08D2E" w:sz="12" w:space="6"/>
        </w:pBdr>
        <w:spacing w:after="240" w:before="480"/>
      </w:pPr>
      <w:r>
        <w:rPr>
          <w:rFonts w:ascii="Calibri" w:cs="Calibri" w:eastAsia="Calibri" w:hAnsi="Calibri"/>
          <w:b/>
          <w:bCs/>
          <w:color w:val="B08D2E"/>
          <w:sz w:val="22"/>
          <w:szCs w:val="22"/>
        </w:rPr>
        <w:t xml:space="preserve">SECTION 5  |  </w:t>
      </w:r>
      <w:r>
        <w:rPr>
          <w:rFonts w:ascii="Calibri" w:cs="Calibri" w:eastAsia="Calibri" w:hAnsi="Calibri"/>
          <w:b/>
          <w:bCs/>
          <w:color w:val="0B4F3C"/>
          <w:sz w:val="30"/>
          <w:szCs w:val="30"/>
        </w:rPr>
        <w:t xml:space="preserve">Citizen-Equity Land Pooling Mechanics &amp; TOD Zoning</w:t>
      </w:r>
    </w:p>
    <w:p>
      <w:pPr>
        <w:pStyle w:val="Heading2"/>
        <w:spacing w:after="160" w:before="320"/>
      </w:pPr>
      <w:r>
        <w:rPr>
          <w:rFonts w:ascii="Calibri" w:cs="Calibri" w:eastAsia="Calibri" w:hAnsi="Calibri"/>
          <w:b/>
          <w:bCs/>
          <w:color w:val="146C4F"/>
          <w:sz w:val="25"/>
          <w:szCs w:val="25"/>
        </w:rPr>
        <w:t xml:space="preserve">5.1  The Statutory Instrument: The Citizen-Equity Land Pooling Act</w:t>
      </w:r>
    </w:p>
    <w:p>
      <w:pPr>
        <w:spacing w:after="160" w:before="0" w:line="276"/>
      </w:pPr>
      <w:r>
        <w:rPr>
          <w:rFonts w:ascii="Calibri" w:cs="Calibri" w:eastAsia="Calibri" w:hAnsi="Calibri"/>
          <w:color w:val="1F2421"/>
          <w:sz w:val="21"/>
          <w:szCs w:val="21"/>
        </w:rPr>
        <w:t xml:space="preserve">The report mandates enacting the Kerala Town Planning (Citizen-Equity Land Pooling) Act to empower a dedicated Special Purpose Vehicle — the Kochi Growth Belt Authority (K-GBA) — structured with a 51% State share, 29% Institutional Investor share, and a statutorily reserved 20% Citizen-Equity float.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0B4F3C" w:sz="4"/>
              <w:left w:val="single" w:color="0B4F3C" w:sz="4"/>
              <w:bottom w:val="single" w:color="0B4F3C" w:sz="4"/>
              <w:right w:val="single" w:color="0B4F3C" w:sz="4"/>
            </w:tcBorders>
            <w:shd w:fill="0B4F3C" w:val="clear"/>
            <w:tcMar>
              <w:top w:type="dxa" w:w="110"/>
              <w:left w:type="dxa" w:w="160"/>
              <w:bottom w:type="dxa" w:w="110"/>
              <w:right w:type="dxa" w:w="160"/>
            </w:tcMar>
          </w:tcPr>
          <w:p>
            <w:pPr>
              <w:jc w:val="center"/>
            </w:pPr>
            <w:r>
              <w:rPr>
                <w:rFonts w:ascii="Calibri" w:cs="Calibri" w:eastAsia="Calibri" w:hAnsi="Calibri"/>
                <w:b/>
                <w:bCs/>
                <w:color w:val="FFFFFF"/>
                <w:sz w:val="21"/>
                <w:szCs w:val="21"/>
              </w:rPr>
              <w:t xml:space="preserve">CITIZEN-EQUITY POOLING EXECUTION ENGINE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1. SPV Charter</w:t>
            </w:r>
          </w:p>
          <w:p>
            <w:pPr>
              <w:spacing w:before="20"/>
            </w:pPr>
            <w:r>
              <w:rPr>
                <w:rFonts w:ascii="Calibri" w:cs="Calibri" w:eastAsia="Calibri" w:hAnsi="Calibri"/>
                <w:color w:val="1F2421"/>
                <w:sz w:val="18"/>
                <w:szCs w:val="18"/>
              </w:rPr>
              <w:t xml:space="preserve">Enact Town Planning Land Pooling Act</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2. Digital Cadastre</w:t>
            </w:r>
          </w:p>
          <w:p>
            <w:pPr>
              <w:spacing w:before="20"/>
            </w:pPr>
            <w:r>
              <w:rPr>
                <w:rFonts w:ascii="Calibri" w:cs="Calibri" w:eastAsia="Calibri" w:hAnsi="Calibri"/>
                <w:color w:val="1F2421"/>
                <w:sz w:val="18"/>
                <w:szCs w:val="18"/>
              </w:rPr>
              <w:t xml:space="preserve">GIS &amp; Blockchain Verification of Parcel Boundaries</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3. Equity Share Issuance</w:t>
            </w:r>
          </w:p>
          <w:p>
            <w:pPr>
              <w:spacing w:before="20"/>
            </w:pPr>
            <w:r>
              <w:rPr>
                <w:rFonts w:ascii="Calibri" w:cs="Calibri" w:eastAsia="Calibri" w:hAnsi="Calibri"/>
                <w:color w:val="1F2421"/>
                <w:sz w:val="18"/>
                <w:szCs w:val="18"/>
              </w:rPr>
              <w:t xml:space="preserve">Landowners receive tradeable REIT-style shares</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4. FSI Upscaling</w:t>
            </w:r>
          </w:p>
          <w:p>
            <w:pPr>
              <w:spacing w:before="20"/>
            </w:pPr>
            <w:r>
              <w:rPr>
                <w:rFonts w:ascii="Calibri" w:cs="Calibri" w:eastAsia="Calibri" w:hAnsi="Calibri"/>
                <w:color w:val="1F2421"/>
                <w:sz w:val="18"/>
                <w:szCs w:val="18"/>
              </w:rPr>
              <w:t xml:space="preserve">8.0x–10.0x FSI granted around major Interchanges</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5. Return Parcel Allocation</w:t>
            </w:r>
          </w:p>
          <w:p>
            <w:pPr>
              <w:spacing w:before="20"/>
            </w:pPr>
            <w:r>
              <w:rPr>
                <w:rFonts w:ascii="Calibri" w:cs="Calibri" w:eastAsia="Calibri" w:hAnsi="Calibri"/>
                <w:color w:val="1F2421"/>
                <w:sz w:val="18"/>
                <w:szCs w:val="18"/>
              </w:rPr>
              <w:t xml:space="preserve">30–40% fully-serviced land returned to owners</w:t>
            </w:r>
          </w:p>
        </w:tc>
      </w:tr>
    </w:tbl>
    <w:p>
      <w:pPr>
        <w:spacing w:after="220"/>
      </w:pPr>
    </w:p>
    <w:p>
      <w:pPr>
        <w:pStyle w:val="Heading3"/>
        <w:spacing w:after="120" w:before="220"/>
      </w:pPr>
      <w:r>
        <w:rPr>
          <w:rFonts w:ascii="Calibri" w:cs="Calibri" w:eastAsia="Calibri" w:hAnsi="Calibri"/>
          <w:b/>
          <w:bCs/>
          <w:i w:val="false"/>
          <w:iCs w:val="false"/>
          <w:color w:val="1F2421"/>
          <w:sz w:val="22"/>
          <w:szCs w:val="22"/>
        </w:rPr>
        <w:t xml:space="preserve">Key Statutory Provisions</w:t>
      </w:r>
    </w:p>
    <w:p>
      <w:pPr>
        <w:pStyle w:val="ListParagraph"/>
        <w:numPr>
          <w:ilvl w:val="0"/>
          <w:numId w:val="4"/>
        </w:numPr>
        <w:spacing w:after="140" w:line="268"/>
      </w:pPr>
      <w:r>
        <w:rPr>
          <w:rFonts w:ascii="Calibri" w:cs="Calibri" w:eastAsia="Calibri" w:hAnsi="Calibri"/>
          <w:b/>
          <w:bCs/>
          <w:color w:val="0B4F3C"/>
          <w:sz w:val="21"/>
          <w:szCs w:val="21"/>
        </w:rPr>
        <w:t xml:space="preserve">60% / 55% Dual Confirmation Threshold:</w:t>
      </w:r>
      <w:r>
        <w:rPr>
          <w:rFonts w:ascii="Calibri" w:cs="Calibri" w:eastAsia="Calibri" w:hAnsi="Calibri"/>
          <w:color w:val="1F2421"/>
          <w:sz w:val="21"/>
          <w:szCs w:val="21"/>
        </w:rPr>
        <w:t xml:space="preserve"> A pooling scheme is confirmed when owners representing 60% of scheme area AND 55% of landholder headcount enrol, neutralizing micro-holdout vetoes.</w:t>
      </w:r>
    </w:p>
    <w:p>
      <w:pPr>
        <w:pStyle w:val="ListParagraph"/>
        <w:numPr>
          <w:ilvl w:val="0"/>
          <w:numId w:val="4"/>
        </w:numPr>
        <w:spacing w:after="140" w:line="268"/>
      </w:pPr>
      <w:r>
        <w:rPr>
          <w:rFonts w:ascii="Calibri" w:cs="Calibri" w:eastAsia="Calibri" w:hAnsi="Calibri"/>
          <w:b/>
          <w:bCs/>
          <w:color w:val="0B4F3C"/>
          <w:sz w:val="21"/>
          <w:szCs w:val="21"/>
        </w:rPr>
        <w:t xml:space="preserve">Dwelling-Protection Band:</w:t>
      </w:r>
      <w:r>
        <w:rPr>
          <w:rFonts w:ascii="Calibri" w:cs="Calibri" w:eastAsia="Calibri" w:hAnsi="Calibri"/>
          <w:color w:val="1F2421"/>
          <w:sz w:val="21"/>
          <w:szCs w:val="21"/>
        </w:rPr>
        <w:t xml:space="preserve"> Parcels bearing occupied homes receive a 40% returned plot plus guaranteed housing placement. Physical vacation is legally sequenced after the delivery of the serviced return plot.</w:t>
      </w:r>
    </w:p>
    <w:p>
      <w:pPr>
        <w:pStyle w:val="ListParagraph"/>
        <w:numPr>
          <w:ilvl w:val="0"/>
          <w:numId w:val="4"/>
        </w:numPr>
        <w:spacing w:after="140" w:line="268"/>
      </w:pPr>
      <w:r>
        <w:rPr>
          <w:rFonts w:ascii="Calibri" w:cs="Calibri" w:eastAsia="Calibri" w:hAnsi="Calibri"/>
          <w:b/>
          <w:bCs/>
          <w:color w:val="0B4F3C"/>
          <w:sz w:val="21"/>
          <w:szCs w:val="21"/>
        </w:rPr>
        <w:t xml:space="preserve">Statutory Floor-Price Put Option:</w:t>
      </w:r>
      <w:r>
        <w:rPr>
          <w:rFonts w:ascii="Calibri" w:cs="Calibri" w:eastAsia="Calibri" w:hAnsi="Calibri"/>
          <w:color w:val="1F2421"/>
          <w:sz w:val="21"/>
          <w:szCs w:val="21"/>
        </w:rPr>
        <w:t xml:space="preserve"> Every enrolled owner holds a put option: if the post-pooling returned plot value does not appreciate, the owner can exit for 100% of cash LARR compensation frozen at notification date.</w:t>
      </w:r>
    </w:p>
    <w:p>
      <w:pPr>
        <w:pStyle w:val="Heading2"/>
        <w:spacing w:after="160" w:before="320"/>
      </w:pPr>
      <w:r>
        <w:rPr>
          <w:rFonts w:ascii="Calibri" w:cs="Calibri" w:eastAsia="Calibri" w:hAnsi="Calibri"/>
          <w:b/>
          <w:bCs/>
          <w:color w:val="146C4F"/>
          <w:sz w:val="25"/>
          <w:szCs w:val="25"/>
        </w:rPr>
        <w:t xml:space="preserve">5.2  Equity Conversion Matrix</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18"/>
        <w:gridCol w:w="1683"/>
        <w:gridCol w:w="1496"/>
        <w:gridCol w:w="3553"/>
      </w:tblGrid>
      <w:tr>
        <w:trPr>
          <w:tblHeader/>
        </w:trPr>
        <w:tc>
          <w:tcPr>
            <w:tcW w:type="dxa" w:w="2618"/>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Contributed Parcel Class</w:t>
            </w:r>
          </w:p>
        </w:tc>
        <w:tc>
          <w:tcPr>
            <w:tcW w:type="dxa" w:w="1683"/>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Serviced Land Returned</w:t>
            </w:r>
          </w:p>
        </w:tc>
        <w:tc>
          <w:tcPr>
            <w:tcW w:type="dxa" w:w="1496"/>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SPV Equity / REIT Units</w:t>
            </w:r>
          </w:p>
        </w:tc>
        <w:tc>
          <w:tcPr>
            <w:tcW w:type="dxa" w:w="3553"/>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Primary Allotment Outcome</w:t>
            </w:r>
          </w:p>
        </w:tc>
      </w:tr>
      <w:tr>
        <w:tc>
          <w:tcPr>
            <w:tcW w:type="dxa" w:w="2618"/>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Small Commercial Fragment (1–2 ac)</w:t>
            </w:r>
          </w:p>
        </w:tc>
        <w:tc>
          <w:tcPr>
            <w:tcW w:type="dxa" w:w="168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40%</w:t>
            </w:r>
          </w:p>
        </w:tc>
        <w:tc>
          <w:tcPr>
            <w:tcW w:type="dxa" w:w="149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12%</w:t>
            </w:r>
          </w:p>
        </w:tc>
        <w:tc>
          <w:tcPr>
            <w:tcW w:type="dxa" w:w="355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Returned in TOD commercial node cores; maximum value multiplication</w:t>
            </w:r>
          </w:p>
        </w:tc>
      </w:tr>
      <w:tr>
        <w:tc>
          <w:tcPr>
            <w:tcW w:type="dxa" w:w="2618"/>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Medium Agri/Fallow Cluster (5–10 ac)</w:t>
            </w:r>
          </w:p>
        </w:tc>
        <w:tc>
          <w:tcPr>
            <w:tcW w:type="dxa" w:w="1683"/>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35%</w:t>
            </w:r>
          </w:p>
        </w:tc>
        <w:tc>
          <w:tcPr>
            <w:tcW w:type="dxa" w:w="1496"/>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10%</w:t>
            </w:r>
          </w:p>
        </w:tc>
        <w:tc>
          <w:tcPr>
            <w:tcW w:type="dxa" w:w="3553"/>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Returned in mixed-use residential/commercial rings</w:t>
            </w:r>
          </w:p>
        </w:tc>
      </w:tr>
      <w:tr>
        <w:tc>
          <w:tcPr>
            <w:tcW w:type="dxa" w:w="2618"/>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Large Contiguous Tract (10–20+ ac)</w:t>
            </w:r>
          </w:p>
        </w:tc>
        <w:tc>
          <w:tcPr>
            <w:tcW w:type="dxa" w:w="168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30%</w:t>
            </w:r>
          </w:p>
        </w:tc>
        <w:tc>
          <w:tcPr>
            <w:tcW w:type="dxa" w:w="149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15%</w:t>
            </w:r>
          </w:p>
        </w:tc>
        <w:tc>
          <w:tcPr>
            <w:tcW w:type="dxa" w:w="355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Lower land-back, higher REIT securities weight for institutional holders</w:t>
            </w:r>
          </w:p>
        </w:tc>
      </w:tr>
      <w:tr>
        <w:tc>
          <w:tcPr>
            <w:tcW w:type="dxa" w:w="2618"/>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Dwelling-Standing Parcel</w:t>
            </w:r>
          </w:p>
        </w:tc>
        <w:tc>
          <w:tcPr>
            <w:tcW w:type="dxa" w:w="1683"/>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40% + housing plot</w:t>
            </w:r>
          </w:p>
        </w:tc>
        <w:tc>
          <w:tcPr>
            <w:tcW w:type="dxa" w:w="1496"/>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10%</w:t>
            </w:r>
          </w:p>
        </w:tc>
        <w:tc>
          <w:tcPr>
            <w:tcW w:type="dxa" w:w="3553"/>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Physical vacation sequenced after serviced plot re-delivery</w:t>
            </w:r>
          </w:p>
        </w:tc>
      </w:tr>
      <w:tr>
        <w:tc>
          <w:tcPr>
            <w:tcW w:type="dxa" w:w="2618"/>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Long-Lease Pooling (Industrial/Institutional)</w:t>
            </w:r>
          </w:p>
        </w:tc>
        <w:tc>
          <w:tcPr>
            <w:tcW w:type="dxa" w:w="168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Leaseback of floor space</w:t>
            </w:r>
          </w:p>
        </w:tc>
        <w:tc>
          <w:tcPr>
            <w:tcW w:type="dxa" w:w="149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Rent-linked units</w:t>
            </w:r>
          </w:p>
        </w:tc>
        <w:tc>
          <w:tcPr>
            <w:tcW w:type="dxa" w:w="355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Applied to church/devaswom land and industrial compounds</w:t>
            </w:r>
          </w:p>
        </w:tc>
      </w:tr>
    </w:tbl>
    <w:p>
      <w:pPr>
        <w:spacing w:after="200"/>
      </w:pPr>
    </w:p>
    <w:p>
      <w:pPr>
        <w:pStyle w:val="Heading2"/>
        <w:spacing w:after="160" w:before="320"/>
      </w:pPr>
      <w:r>
        <w:rPr>
          <w:rFonts w:ascii="Calibri" w:cs="Calibri" w:eastAsia="Calibri" w:hAnsi="Calibri"/>
          <w:b/>
          <w:bCs/>
          <w:color w:val="146C4F"/>
          <w:sz w:val="25"/>
          <w:szCs w:val="25"/>
        </w:rPr>
        <w:t xml:space="preserve">5.3  Radical FSI Upscaling &amp; The 85% Conservation Proof</w:t>
      </w:r>
    </w:p>
    <w:p>
      <w:pPr>
        <w:spacing w:after="160" w:before="0" w:line="276"/>
      </w:pPr>
      <w:r>
        <w:rPr>
          <w:rFonts w:ascii="Calibri" w:cs="Calibri" w:eastAsia="Calibri" w:hAnsi="Calibri"/>
          <w:color w:val="1F2421"/>
          <w:sz w:val="21"/>
          <w:szCs w:val="21"/>
        </w:rPr>
        <w:t xml:space="preserve">Within a 1.5-km radius of the four major interchanges (Mattoor, Puthencruz, Thrippunithura, Aroor), base FSI is set at 4.0, with premium FSI uncapped up to 8.0x–10.0x purchasable from the SPV.</w:t>
      </w:r>
    </w:p>
    <w:p>
      <w:pPr>
        <w:pStyle w:val="ListParagraph"/>
        <w:numPr>
          <w:ilvl w:val="0"/>
          <w:numId w:val="2"/>
        </w:numPr>
        <w:spacing w:after="120" w:line="268"/>
      </w:pPr>
      <w:r>
        <w:rPr>
          <w:rFonts w:ascii="Calibri" w:cs="Calibri" w:eastAsia="Calibri" w:hAnsi="Calibri"/>
          <w:b/>
          <w:bCs/>
          <w:color w:val="0B4F3C"/>
          <w:sz w:val="21"/>
          <w:szCs w:val="21"/>
        </w:rPr>
        <w:t xml:space="preserve">The Conservation Proof:</w:t>
      </w:r>
      <w:r>
        <w:rPr>
          <w:rFonts w:ascii="Calibri" w:cs="Calibri" w:eastAsia="Calibri" w:hAnsi="Calibri"/>
          <w:color w:val="1F2421"/>
          <w:sz w:val="21"/>
          <w:szCs w:val="21"/>
        </w:rPr>
        <w:t xml:space="preserve"> The 21-year floor space demand (300–380 million sq ft) would consume 9,000–13,000 acres if built horizontally at Kerala's average FSI of 0.8. By concentrating this demand vertically within 7,000 node acres at FSI 8.0x–10.0x, over 85% of surrounding wetlands and agricultural fields remain untouched in perpetuity. Verticality is the state's primary environmental preservation policy.</w:t>
      </w:r>
    </w:p>
    <w:p>
      <w:r>
        <w:br w:type="page"/>
      </w:r>
    </w:p>
    <w:p>
      <w:pPr>
        <w:pStyle w:val="Heading1"/>
        <w:pBdr>
          <w:bottom w:val="single" w:color="B08D2E" w:sz="12" w:space="6"/>
        </w:pBdr>
        <w:spacing w:after="240" w:before="480"/>
      </w:pPr>
      <w:r>
        <w:rPr>
          <w:rFonts w:ascii="Calibri" w:cs="Calibri" w:eastAsia="Calibri" w:hAnsi="Calibri"/>
          <w:b/>
          <w:bCs/>
          <w:color w:val="B08D2E"/>
          <w:sz w:val="22"/>
          <w:szCs w:val="22"/>
        </w:rPr>
        <w:t xml:space="preserve">SECTION 6  |  </w:t>
      </w:r>
      <w:r>
        <w:rPr>
          <w:rFonts w:ascii="Calibri" w:cs="Calibri" w:eastAsia="Calibri" w:hAnsi="Calibri"/>
          <w:b/>
          <w:bCs/>
          <w:color w:val="0B4F3C"/>
          <w:sz w:val="30"/>
          <w:szCs w:val="30"/>
        </w:rPr>
        <w:t xml:space="preserve">Regional Metropolitan Spoke-and-Hub Transit Grid</w:t>
      </w:r>
    </w:p>
    <w:p>
      <w:pPr>
        <w:spacing w:after="160" w:before="0" w:line="276"/>
      </w:pPr>
      <w:r>
        <w:rPr>
          <w:rFonts w:ascii="Calibri" w:cs="Calibri" w:eastAsia="Calibri" w:hAnsi="Calibri"/>
          <w:color w:val="1F2421"/>
          <w:sz w:val="21"/>
          <w:szCs w:val="21"/>
        </w:rPr>
        <w:t xml:space="preserve">To prevent the ORR from operating as an isolated bypass, four regional feeder expressways and two inner-city extensions feed traffic into the central ring loop.</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0B4F3C" w:sz="4"/>
              <w:left w:val="single" w:color="0B4F3C" w:sz="4"/>
              <w:bottom w:val="single" w:color="0B4F3C" w:sz="4"/>
              <w:right w:val="single" w:color="0B4F3C" w:sz="4"/>
            </w:tcBorders>
            <w:shd w:fill="0B4F3C" w:val="clear"/>
            <w:tcMar>
              <w:top w:type="dxa" w:w="110"/>
              <w:left w:type="dxa" w:w="160"/>
              <w:bottom w:type="dxa" w:w="110"/>
              <w:right w:type="dxa" w:w="160"/>
            </w:tcMar>
          </w:tcPr>
          <w:p>
            <w:pPr>
              <w:jc w:val="center"/>
            </w:pPr>
            <w:r>
              <w:rPr>
                <w:rFonts w:ascii="Calibri" w:cs="Calibri" w:eastAsia="Calibri" w:hAnsi="Calibri"/>
                <w:b/>
                <w:bCs/>
                <w:color w:val="FFFFFF"/>
                <w:sz w:val="21"/>
                <w:szCs w:val="21"/>
              </w:rPr>
              <w:t xml:space="preserve">KOCHI METROPOLITAN REGIONAL TRANSIT GRID</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Northern Gateway</w:t>
            </w:r>
          </w:p>
          <w:p>
            <w:pPr>
              <w:spacing w:before="20"/>
            </w:pPr>
            <w:r>
              <w:rPr>
                <w:rFonts w:ascii="Calibri" w:cs="Calibri" w:eastAsia="Calibri" w:hAnsi="Calibri"/>
                <w:color w:val="1F2421"/>
                <w:sz w:val="18"/>
                <w:szCs w:val="18"/>
              </w:rPr>
              <w:t xml:space="preserve">Kodungallur Trumpet (NH-66 / Malabar Feeder)</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North-East Spokes</w:t>
            </w:r>
          </w:p>
          <w:p>
            <w:pPr>
              <w:spacing w:before="20"/>
            </w:pPr>
            <w:r>
              <w:rPr>
                <w:rFonts w:ascii="Calibri" w:cs="Calibri" w:eastAsia="Calibri" w:hAnsi="Calibri"/>
                <w:color w:val="1F2421"/>
                <w:sz w:val="18"/>
                <w:szCs w:val="18"/>
              </w:rPr>
              <w:t xml:space="preserve">Perumbavoor &amp; Kothamangalam (Aluva–Munnar Grid)</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Central Tech Spine</w:t>
            </w:r>
          </w:p>
          <w:p>
            <w:pPr>
              <w:spacing w:before="20"/>
            </w:pPr>
            <w:r>
              <w:rPr>
                <w:rFonts w:ascii="Calibri" w:cs="Calibri" w:eastAsia="Calibri" w:hAnsi="Calibri"/>
                <w:color w:val="1F2421"/>
                <w:sz w:val="18"/>
                <w:szCs w:val="18"/>
              </w:rPr>
              <w:t xml:space="preserve">Kakkanad → Infopark Ext. → Quarry-Industrial</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Eastern Hub (IKM)</w:t>
            </w:r>
          </w:p>
          <w:p>
            <w:pPr>
              <w:spacing w:before="20"/>
            </w:pPr>
            <w:r>
              <w:rPr>
                <w:rFonts w:ascii="Calibri" w:cs="Calibri" w:eastAsia="Calibri" w:hAnsi="Calibri"/>
                <w:color w:val="1F2421"/>
                <w:sz w:val="18"/>
                <w:szCs w:val="18"/>
              </w:rPr>
              <w:t xml:space="preserve">Thrippunithura → Kizhakkambalam → Muvattupuzha</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Southern Spoke</w:t>
            </w:r>
          </w:p>
          <w:p>
            <w:pPr>
              <w:spacing w:before="20"/>
            </w:pPr>
            <w:r>
              <w:rPr>
                <w:rFonts w:ascii="Calibri" w:cs="Calibri" w:eastAsia="Calibri" w:hAnsi="Calibri"/>
                <w:color w:val="1F2421"/>
                <w:sz w:val="18"/>
                <w:szCs w:val="18"/>
              </w:rPr>
              <w:t xml:space="preserve">Kochi–Kottayam 6-Lane Regional Expressway</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South Terminus</w:t>
            </w:r>
          </w:p>
          <w:p>
            <w:pPr>
              <w:spacing w:before="20"/>
            </w:pPr>
            <w:r>
              <w:rPr>
                <w:rFonts w:ascii="Calibri" w:cs="Calibri" w:eastAsia="Calibri" w:hAnsi="Calibri"/>
                <w:color w:val="1F2421"/>
                <w:sz w:val="18"/>
                <w:szCs w:val="18"/>
              </w:rPr>
              <w:t xml:space="preserve">Aroor Mega Cloverleaf (NH-66 / Port Access)</w:t>
            </w:r>
          </w:p>
        </w:tc>
      </w:tr>
    </w:tbl>
    <w:p>
      <w:pPr>
        <w:spacing w:after="220"/>
      </w:pPr>
    </w:p>
    <w:p>
      <w:pPr>
        <w:pStyle w:val="Heading2"/>
        <w:spacing w:after="160" w:before="320"/>
      </w:pPr>
      <w:r>
        <w:rPr>
          <w:rFonts w:ascii="Calibri" w:cs="Calibri" w:eastAsia="Calibri" w:hAnsi="Calibri"/>
          <w:b/>
          <w:bCs/>
          <w:color w:val="146C4F"/>
          <w:sz w:val="25"/>
          <w:szCs w:val="25"/>
        </w:rPr>
        <w:t xml:space="preserve">6.1  Regional Express Spokes</w:t>
      </w:r>
    </w:p>
    <w:p>
      <w:pPr>
        <w:pStyle w:val="ListParagraph"/>
        <w:numPr>
          <w:ilvl w:val="0"/>
          <w:numId w:val="5"/>
        </w:numPr>
        <w:spacing w:after="140" w:line="268"/>
      </w:pPr>
      <w:r>
        <w:rPr>
          <w:rFonts w:ascii="Calibri" w:cs="Calibri" w:eastAsia="Calibri" w:hAnsi="Calibri"/>
          <w:b/>
          <w:bCs/>
          <w:color w:val="0B4F3C"/>
          <w:sz w:val="21"/>
          <w:szCs w:val="21"/>
        </w:rPr>
        <w:t xml:space="preserve">Kochi–Kottayam 6-Lane Regional Expressway:</w:t>
      </w:r>
      <w:r>
        <w:rPr>
          <w:rFonts w:ascii="Calibri" w:cs="Calibri" w:eastAsia="Calibri" w:hAnsi="Calibri"/>
          <w:color w:val="1F2421"/>
          <w:sz w:val="21"/>
          <w:szCs w:val="21"/>
        </w:rPr>
        <w:t xml:space="preserve"> A 46–52 km access-controlled expressway (60m RoW) taking off from the Thiruvankulam/Puthencruz node via Piravom/Ettumanoor to Kottayam. Cuts Kochi–Kottayam travel times to under 45 minutes, integrating rubber and agro-industries directly with export ports.</w:t>
      </w:r>
    </w:p>
    <w:p>
      <w:pPr>
        <w:pStyle w:val="ListParagraph"/>
        <w:numPr>
          <w:ilvl w:val="0"/>
          <w:numId w:val="5"/>
        </w:numPr>
        <w:spacing w:after="140" w:line="268"/>
      </w:pPr>
      <w:r>
        <w:rPr>
          <w:rFonts w:ascii="Calibri" w:cs="Calibri" w:eastAsia="Calibri" w:hAnsi="Calibri"/>
          <w:b/>
          <w:bCs/>
          <w:color w:val="0B4F3C"/>
          <w:sz w:val="21"/>
          <w:szCs w:val="21"/>
        </w:rPr>
        <w:t xml:space="preserve">Thrippunithura–InfoPark–Kizhakkambalam–Muvattupuzha (IKM) Connector:</w:t>
      </w:r>
      <w:r>
        <w:rPr>
          <w:rFonts w:ascii="Calibri" w:cs="Calibri" w:eastAsia="Calibri" w:hAnsi="Calibri"/>
          <w:color w:val="1F2421"/>
          <w:sz w:val="21"/>
          <w:szCs w:val="21"/>
        </w:rPr>
        <w:t xml:space="preserve"> A 28-km, 45-m RoW industrial arterial connecting Thrippunithura through the Infopark technology zone and Kizhakkambalam manufacturing hubs directly to Muvattupuzha on NH-85.</w:t>
      </w:r>
    </w:p>
    <w:p>
      <w:pPr>
        <w:pStyle w:val="ListParagraph"/>
        <w:numPr>
          <w:ilvl w:val="0"/>
          <w:numId w:val="5"/>
        </w:numPr>
        <w:spacing w:after="140" w:line="268"/>
      </w:pPr>
      <w:r>
        <w:rPr>
          <w:rFonts w:ascii="Calibri" w:cs="Calibri" w:eastAsia="Calibri" w:hAnsi="Calibri"/>
          <w:b/>
          <w:bCs/>
          <w:color w:val="0B4F3C"/>
          <w:sz w:val="21"/>
          <w:szCs w:val="21"/>
        </w:rPr>
        <w:t xml:space="preserve">North-Eastern Agro-Tourism Feeder Grid (Perumbavoor &amp; Kothamangalam):</w:t>
      </w:r>
      <w:r>
        <w:rPr>
          <w:rFonts w:ascii="Calibri" w:cs="Calibri" w:eastAsia="Calibri" w:hAnsi="Calibri"/>
          <w:color w:val="1F2421"/>
          <w:sz w:val="21"/>
          <w:szCs w:val="21"/>
        </w:rPr>
        <w:t xml:space="preserve"> Upgraded 30–45m RoW feeders linking SH-16 and NH-85 to the ORR, providing direct bypass access for High-Range tourism (Munnar) and timber processing to CIAL air cargo.</w:t>
      </w:r>
    </w:p>
    <w:p>
      <w:pPr>
        <w:pStyle w:val="Heading2"/>
        <w:spacing w:after="160" w:before="320"/>
      </w:pPr>
      <w:r>
        <w:rPr>
          <w:rFonts w:ascii="Calibri" w:cs="Calibri" w:eastAsia="Calibri" w:hAnsi="Calibri"/>
          <w:b/>
          <w:bCs/>
          <w:color w:val="146C4F"/>
          <w:sz w:val="25"/>
          <w:szCs w:val="25"/>
        </w:rPr>
        <w:t xml:space="preserve">6.2  Inner-City Tech Extensions</w:t>
      </w:r>
    </w:p>
    <w:p>
      <w:pPr>
        <w:pStyle w:val="ListParagraph"/>
        <w:numPr>
          <w:ilvl w:val="0"/>
          <w:numId w:val="6"/>
        </w:numPr>
        <w:spacing w:after="140" w:line="268"/>
      </w:pPr>
      <w:r>
        <w:rPr>
          <w:rFonts w:ascii="Calibri" w:cs="Calibri" w:eastAsia="Calibri" w:hAnsi="Calibri"/>
          <w:b/>
          <w:bCs/>
          <w:color w:val="0B4F3C"/>
          <w:sz w:val="21"/>
          <w:szCs w:val="21"/>
        </w:rPr>
        <w:t xml:space="preserve">Infopark Expressway Extension (Karimugal Quarry Belt):</w:t>
      </w:r>
      <w:r>
        <w:rPr>
          <w:rFonts w:ascii="Calibri" w:cs="Calibri" w:eastAsia="Calibri" w:hAnsi="Calibri"/>
          <w:color w:val="1F2421"/>
          <w:sz w:val="21"/>
          <w:szCs w:val="21"/>
        </w:rPr>
        <w:t xml:space="preserve"> A 9–11 km heavy-duty 6-lane extension running from Infopark through the Karimugal quarry-brownfield belt directly onto the ORR, removing industrial freight from Kakkanad's residential streets.</w:t>
      </w:r>
    </w:p>
    <w:p>
      <w:pPr>
        <w:pStyle w:val="ListParagraph"/>
        <w:numPr>
          <w:ilvl w:val="0"/>
          <w:numId w:val="6"/>
        </w:numPr>
        <w:spacing w:after="140" w:line="268"/>
      </w:pPr>
      <w:r>
        <w:rPr>
          <w:rFonts w:ascii="Calibri" w:cs="Calibri" w:eastAsia="Calibri" w:hAnsi="Calibri"/>
          <w:b/>
          <w:bCs/>
          <w:color w:val="0B4F3C"/>
          <w:sz w:val="21"/>
          <w:szCs w:val="21"/>
        </w:rPr>
        <w:t xml:space="preserve">Kakkanad–Muvattupuzha &amp; Kakkanad–Kothamangalam TOD Corridors:</w:t>
      </w:r>
      <w:r>
        <w:rPr>
          <w:rFonts w:ascii="Calibri" w:cs="Calibri" w:eastAsia="Calibri" w:hAnsi="Calibri"/>
          <w:color w:val="1F2421"/>
          <w:sz w:val="21"/>
          <w:szCs w:val="21"/>
        </w:rPr>
        <w:t xml:space="preserve"> Upgraded to 60-meter RoW TOD Spines with a 6-lane carriageway, median BRT/rail reservation, and FSI 2.5–4.0 zoning overlays.</w:t>
      </w:r>
    </w:p>
    <w:p>
      <w:r>
        <w:br w:type="page"/>
      </w:r>
    </w:p>
    <w:p>
      <w:pPr>
        <w:pStyle w:val="Heading1"/>
        <w:pBdr>
          <w:bottom w:val="single" w:color="B08D2E" w:sz="12" w:space="6"/>
        </w:pBdr>
        <w:spacing w:after="240" w:before="480"/>
      </w:pPr>
      <w:r>
        <w:rPr>
          <w:rFonts w:ascii="Calibri" w:cs="Calibri" w:eastAsia="Calibri" w:hAnsi="Calibri"/>
          <w:b/>
          <w:bCs/>
          <w:color w:val="B08D2E"/>
          <w:sz w:val="22"/>
          <w:szCs w:val="22"/>
        </w:rPr>
        <w:t xml:space="preserve">SECTION 7  |  </w:t>
      </w:r>
      <w:r>
        <w:rPr>
          <w:rFonts w:ascii="Calibri" w:cs="Calibri" w:eastAsia="Calibri" w:hAnsi="Calibri"/>
          <w:b/>
          <w:bCs/>
          <w:color w:val="0B4F3C"/>
          <w:sz w:val="30"/>
          <w:szCs w:val="30"/>
        </w:rPr>
        <w:t xml:space="preserve">Industrial Mapping &amp; Economic Satellite Clusters</w:t>
      </w:r>
    </w:p>
    <w:p>
      <w:pPr>
        <w:spacing w:after="160" w:before="0" w:line="276"/>
      </w:pPr>
      <w:r>
        <w:rPr>
          <w:rFonts w:ascii="Calibri" w:cs="Calibri" w:eastAsia="Calibri" w:hAnsi="Calibri"/>
          <w:color w:val="1F2421"/>
          <w:sz w:val="21"/>
          <w:szCs w:val="21"/>
        </w:rPr>
        <w:t xml:space="preserve">The corridor is organised around four anchor economic clusters, each drawing directly on the ORR's freight and connectivity backbone.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805"/>
        <w:gridCol w:w="2805"/>
        <w:gridCol w:w="3740"/>
      </w:tblGrid>
      <w:tr>
        <w:trPr>
          <w:tblHeader/>
        </w:trPr>
        <w:tc>
          <w:tcPr>
            <w:tcW w:type="dxa" w:w="2805"/>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Cluster</w:t>
            </w:r>
          </w:p>
        </w:tc>
        <w:tc>
          <w:tcPr>
            <w:tcW w:type="dxa" w:w="2805"/>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Focus</w:t>
            </w:r>
          </w:p>
        </w:tc>
        <w:tc>
          <w:tcPr>
            <w:tcW w:type="dxa" w:w="3740"/>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Anchor Assets</w:t>
            </w:r>
          </w:p>
        </w:tc>
      </w:tr>
      <w:tr>
        <w:tc>
          <w:tcPr>
            <w:tcW w:type="dxa" w:w="2805"/>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1. Mega-Logistics &amp; EXIM Hub</w:t>
            </w:r>
          </w:p>
        </w:tc>
        <w:tc>
          <w:tcPr>
            <w:tcW w:type="dxa" w:w="2805"/>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Bonded warehousing, ICD, air-cargo</w:t>
            </w:r>
          </w:p>
        </w:tc>
        <w:tc>
          <w:tcPr>
            <w:tcW w:type="dxa" w:w="3740"/>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Vizhinjam–Kochi Axis  ·  Puthencruz Dry Port  ·  Mattoor Air-Cargo</w:t>
            </w:r>
          </w:p>
        </w:tc>
      </w:tr>
      <w:tr>
        <w:tc>
          <w:tcPr>
            <w:tcW w:type="dxa" w:w="2805"/>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2. High-Value Manufacturing &amp; Assembly</w:t>
            </w:r>
          </w:p>
        </w:tc>
        <w:tc>
          <w:tcPr>
            <w:tcW w:type="dxa" w:w="2805"/>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Vertical fabs, EV components</w:t>
            </w:r>
          </w:p>
        </w:tc>
        <w:tc>
          <w:tcPr>
            <w:tcW w:type="dxa" w:w="3740"/>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Palakkad–Thrissur Feeders  ·  Auto/EV Component Hubs  ·  High-FSI Vertical Fabs</w:t>
            </w:r>
          </w:p>
        </w:tc>
      </w:tr>
      <w:tr>
        <w:tc>
          <w:tcPr>
            <w:tcW w:type="dxa" w:w="2805"/>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3. Deep-Tech &amp; Research Parks</w:t>
            </w:r>
          </w:p>
        </w:tc>
        <w:tc>
          <w:tcPr>
            <w:tcW w:type="dxa" w:w="2805"/>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AI, agtech, marine robotics</w:t>
            </w:r>
          </w:p>
        </w:tc>
        <w:tc>
          <w:tcPr>
            <w:tcW w:type="dxa" w:w="3740"/>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Quantum &amp; AI Valley  ·  Spices &amp; AgTech R&amp;D  ·  Marine Robotics</w:t>
            </w:r>
          </w:p>
        </w:tc>
      </w:tr>
      <w:tr>
        <w:tc>
          <w:tcPr>
            <w:tcW w:type="dxa" w:w="2805"/>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4. Maritime &amp; Defence Industrial Belt</w:t>
            </w:r>
          </w:p>
        </w:tc>
        <w:tc>
          <w:tcPr>
            <w:tcW w:type="dxa" w:w="2805"/>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Shipbuilding, green bunkering</w:t>
            </w:r>
          </w:p>
        </w:tc>
        <w:tc>
          <w:tcPr>
            <w:tcW w:type="dxa" w:w="3740"/>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Ship Repair &amp; Retrofit  ·  Modular Yards (Aroor)  ·  Defence Sub-tier Units</w:t>
            </w:r>
          </w:p>
        </w:tc>
      </w:tr>
    </w:tbl>
    <w:p>
      <w:pPr>
        <w:spacing w:after="200"/>
      </w:pPr>
    </w:p>
    <w:p>
      <w:pPr>
        <w:pStyle w:val="Heading2"/>
        <w:spacing w:after="160" w:before="320"/>
      </w:pPr>
      <w:r>
        <w:rPr>
          <w:rFonts w:ascii="Calibri" w:cs="Calibri" w:eastAsia="Calibri" w:hAnsi="Calibri"/>
          <w:b/>
          <w:bCs/>
          <w:color w:val="146C4F"/>
          <w:sz w:val="25"/>
          <w:szCs w:val="25"/>
        </w:rPr>
        <w:t xml:space="preserve">7.1  Cluster Allocation &amp; Sectoral Focus</w:t>
      </w:r>
    </w:p>
    <w:p>
      <w:pPr>
        <w:pStyle w:val="ListParagraph"/>
        <w:numPr>
          <w:ilvl w:val="0"/>
          <w:numId w:val="7"/>
        </w:numPr>
        <w:spacing w:after="140" w:line="268"/>
      </w:pPr>
      <w:r>
        <w:rPr>
          <w:rFonts w:ascii="Calibri" w:cs="Calibri" w:eastAsia="Calibri" w:hAnsi="Calibri"/>
          <w:b/>
          <w:bCs/>
          <w:color w:val="0B4F3C"/>
          <w:sz w:val="21"/>
          <w:szCs w:val="21"/>
        </w:rPr>
        <w:t xml:space="preserve">Cluster 1: Mega-Logistics &amp; EXIM Hub (900–1,100 ac):</w:t>
      </w:r>
      <w:r>
        <w:rPr>
          <w:rFonts w:ascii="Calibri" w:cs="Calibri" w:eastAsia="Calibri" w:hAnsi="Calibri"/>
          <w:color w:val="1F2421"/>
          <w:sz w:val="21"/>
          <w:szCs w:val="21"/>
        </w:rPr>
        <w:t xml:space="preserve"> Puthencruz FTWZ Dry Port (bonded warehousing, ICD) + Mattoor CIAL Air-Cargo Terminal. Positioned to handle cargo surges from Vizhinjam and Vallarpadam ICTT.</w:t>
      </w:r>
    </w:p>
    <w:p>
      <w:pPr>
        <w:pStyle w:val="ListParagraph"/>
        <w:numPr>
          <w:ilvl w:val="0"/>
          <w:numId w:val="7"/>
        </w:numPr>
        <w:spacing w:after="140" w:line="268"/>
      </w:pPr>
      <w:r>
        <w:rPr>
          <w:rFonts w:ascii="Calibri" w:cs="Calibri" w:eastAsia="Calibri" w:hAnsi="Calibri"/>
          <w:b/>
          <w:bCs/>
          <w:color w:val="0B4F3C"/>
          <w:sz w:val="21"/>
          <w:szCs w:val="21"/>
        </w:rPr>
        <w:t xml:space="preserve">Cluster 2: High-Value Assembly &amp; Precision Electronics (700–900 ac):</w:t>
      </w:r>
      <w:r>
        <w:rPr>
          <w:rFonts w:ascii="Calibri" w:cs="Calibri" w:eastAsia="Calibri" w:hAnsi="Calibri"/>
          <w:color w:val="1F2421"/>
          <w:sz w:val="21"/>
          <w:szCs w:val="21"/>
        </w:rPr>
        <w:t xml:space="preserve"> Multi-storey vertical fabs (FSI 2.5–3.0) at Karukutty/Thuravoor hosting clean-room electronics, medical devices, and EV components, acting as the coastal export complement to the 1,710-acre Palakkad IMC.</w:t>
      </w:r>
    </w:p>
    <w:p>
      <w:pPr>
        <w:pStyle w:val="ListParagraph"/>
        <w:numPr>
          <w:ilvl w:val="0"/>
          <w:numId w:val="7"/>
        </w:numPr>
        <w:spacing w:after="140" w:line="268"/>
      </w:pPr>
      <w:r>
        <w:rPr>
          <w:rFonts w:ascii="Calibri" w:cs="Calibri" w:eastAsia="Calibri" w:hAnsi="Calibri"/>
          <w:b/>
          <w:bCs/>
          <w:color w:val="0B4F3C"/>
          <w:sz w:val="21"/>
          <w:szCs w:val="21"/>
        </w:rPr>
        <w:t xml:space="preserve">Cluster 3: Deep-Tech, AgTech &amp; Content Valleys (600–750 ac):</w:t>
      </w:r>
      <w:r>
        <w:rPr>
          <w:rFonts w:ascii="Calibri" w:cs="Calibri" w:eastAsia="Calibri" w:hAnsi="Calibri"/>
          <w:color w:val="1F2421"/>
          <w:sz w:val="21"/>
          <w:szCs w:val="21"/>
        </w:rPr>
        <w:t xml:space="preserve"> High-density AI data centers along the Infopark extension, value-added Spice &amp; Marine Bio-Tech R&amp;D labs along the Muvattupuzha spoke, and a digital VFX/Media Valley at Thrippunithura.</w:t>
      </w:r>
    </w:p>
    <w:p>
      <w:pPr>
        <w:pStyle w:val="ListParagraph"/>
        <w:numPr>
          <w:ilvl w:val="0"/>
          <w:numId w:val="7"/>
        </w:numPr>
        <w:spacing w:after="140" w:line="268"/>
      </w:pPr>
      <w:r>
        <w:rPr>
          <w:rFonts w:ascii="Calibri" w:cs="Calibri" w:eastAsia="Calibri" w:hAnsi="Calibri"/>
          <w:b/>
          <w:bCs/>
          <w:color w:val="0B4F3C"/>
          <w:sz w:val="21"/>
          <w:szCs w:val="21"/>
        </w:rPr>
        <w:t xml:space="preserve">Cluster 4: Maritime &amp; Defence Industrial Belt (450–600 ac):</w:t>
      </w:r>
      <w:r>
        <w:rPr>
          <w:rFonts w:ascii="Calibri" w:cs="Calibri" w:eastAsia="Calibri" w:hAnsi="Calibri"/>
          <w:color w:val="1F2421"/>
          <w:sz w:val="21"/>
          <w:szCs w:val="21"/>
        </w:rPr>
        <w:t xml:space="preserve"> Aroor ship-repair yards, green-bunkering retrofit bays (methanol/ammonia conversions), and AUV marine robotics facilities operating alongside Cochin Shipyard Limited (CSL) and NPOL.</w:t>
      </w:r>
    </w:p>
    <w:p>
      <w:r>
        <w:br w:type="page"/>
      </w:r>
    </w:p>
    <w:p>
      <w:pPr>
        <w:pStyle w:val="Heading1"/>
        <w:pBdr>
          <w:bottom w:val="single" w:color="B08D2E" w:sz="12" w:space="6"/>
        </w:pBdr>
        <w:spacing w:after="240" w:before="480"/>
      </w:pPr>
      <w:r>
        <w:rPr>
          <w:rFonts w:ascii="Calibri" w:cs="Calibri" w:eastAsia="Calibri" w:hAnsi="Calibri"/>
          <w:b/>
          <w:bCs/>
          <w:color w:val="B08D2E"/>
          <w:sz w:val="22"/>
          <w:szCs w:val="22"/>
        </w:rPr>
        <w:t xml:space="preserve">SECTION 8  |  </w:t>
      </w:r>
      <w:r>
        <w:rPr>
          <w:rFonts w:ascii="Calibri" w:cs="Calibri" w:eastAsia="Calibri" w:hAnsi="Calibri"/>
          <w:b/>
          <w:bCs/>
          <w:color w:val="0B4F3C"/>
          <w:sz w:val="30"/>
          <w:szCs w:val="30"/>
        </w:rPr>
        <w:t xml:space="preserve">Off-Balance-Sheet Financing &amp; Securitization</w:t>
      </w:r>
    </w:p>
    <w:p>
      <w:pPr>
        <w:spacing w:after="160" w:before="0" w:line="276"/>
      </w:pPr>
      <w:r>
        <w:rPr>
          <w:rFonts w:ascii="Calibri" w:cs="Calibri" w:eastAsia="Calibri" w:hAnsi="Calibri"/>
          <w:color w:val="1F2421"/>
          <w:sz w:val="21"/>
          <w:szCs w:val="21"/>
        </w:rPr>
        <w:t xml:space="preserve">Given state budget constraints (CapEx at 1.34% of GSDP), the infrastructure grid uses off-balance-sheet financing mechanisms: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0B4F3C" w:sz="4"/>
              <w:left w:val="single" w:color="0B4F3C" w:sz="4"/>
              <w:bottom w:val="single" w:color="0B4F3C" w:sz="4"/>
              <w:right w:val="single" w:color="0B4F3C" w:sz="4"/>
            </w:tcBorders>
            <w:shd w:fill="0B4F3C" w:val="clear"/>
            <w:tcMar>
              <w:top w:type="dxa" w:w="110"/>
              <w:left w:type="dxa" w:w="160"/>
              <w:bottom w:type="dxa" w:w="110"/>
              <w:right w:type="dxa" w:w="160"/>
            </w:tcMar>
          </w:tcPr>
          <w:p>
            <w:pPr>
              <w:jc w:val="center"/>
            </w:pPr>
            <w:r>
              <w:rPr>
                <w:rFonts w:ascii="Calibri" w:cs="Calibri" w:eastAsia="Calibri" w:hAnsi="Calibri"/>
                <w:b/>
                <w:bCs/>
                <w:color w:val="FFFFFF"/>
                <w:sz w:val="21"/>
                <w:szCs w:val="21"/>
              </w:rPr>
              <w:t xml:space="preserve">THE INFRASTRUCTURE INCENTIVE EQUATION</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Legacy Model</w:t>
            </w:r>
          </w:p>
          <w:p>
            <w:pPr>
              <w:spacing w:before="20"/>
            </w:pPr>
            <w:r>
              <w:rPr>
                <w:rFonts w:ascii="Calibri" w:cs="Calibri" w:eastAsia="Calibri" w:hAnsi="Calibri"/>
                <w:color w:val="1F2421"/>
                <w:sz w:val="18"/>
                <w:szCs w:val="18"/>
              </w:rPr>
              <w:t xml:space="preserve">Short-Term Tax Holidays → Treasury Expenditure Drain</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K-GBA Model</w:t>
            </w:r>
          </w:p>
          <w:p>
            <w:pPr>
              <w:spacing w:before="20"/>
            </w:pPr>
            <w:r>
              <w:rPr>
                <w:rFonts w:ascii="Calibri" w:cs="Calibri" w:eastAsia="Calibri" w:hAnsi="Calibri"/>
                <w:color w:val="1F2421"/>
                <w:sz w:val="18"/>
                <w:szCs w:val="18"/>
              </w:rPr>
              <w:t xml:space="preserve">Dark Fiber K-FON Mesh + High FSI Concessions → High-Yield Land Value Capture (LVC) Securitization</w:t>
            </w:r>
          </w:p>
        </w:tc>
      </w:tr>
    </w:tbl>
    <w:p>
      <w:pPr>
        <w:spacing w:after="220"/>
      </w:pPr>
    </w:p>
    <w:p>
      <w:pPr>
        <w:pStyle w:val="Heading2"/>
        <w:spacing w:after="160" w:before="320"/>
      </w:pPr>
      <w:r>
        <w:rPr>
          <w:rFonts w:ascii="Calibri" w:cs="Calibri" w:eastAsia="Calibri" w:hAnsi="Calibri"/>
          <w:b/>
          <w:bCs/>
          <w:color w:val="146C4F"/>
          <w:sz w:val="25"/>
          <w:szCs w:val="25"/>
        </w:rPr>
        <w:t xml:space="preserve">8.1  Financing Stack &amp; Capital Sources</w:t>
      </w:r>
    </w:p>
    <w:p>
      <w:pPr>
        <w:pStyle w:val="ListParagraph"/>
        <w:numPr>
          <w:ilvl w:val="0"/>
          <w:numId w:val="8"/>
        </w:numPr>
        <w:spacing w:after="140" w:line="268"/>
      </w:pPr>
      <w:r>
        <w:rPr>
          <w:rFonts w:ascii="Calibri" w:cs="Calibri" w:eastAsia="Calibri" w:hAnsi="Calibri"/>
          <w:b/>
          <w:bCs/>
          <w:color w:val="0B4F3C"/>
          <w:sz w:val="21"/>
          <w:szCs w:val="21"/>
        </w:rPr>
        <w:t xml:space="preserve">Securitizing the Central Arrangement:</w:t>
      </w:r>
      <w:r>
        <w:rPr>
          <w:rFonts w:ascii="Calibri" w:cs="Calibri" w:eastAsia="Calibri" w:hAnsi="Calibri"/>
          <w:color w:val="1F2421"/>
          <w:sz w:val="21"/>
          <w:szCs w:val="21"/>
        </w:rPr>
        <w:t xml:space="preserve"> The ₹424 Cr State GST/royalty waiver is booked as non-cash equity credit in K-GBA. Against this foundation and NHAI's 100% land funding, the SPV issues Senior Securitization Notes (₹1,200–1,500 Cr) placed with NIIF, insurance funds, and multilateral banks (ADB/AIIB).</w:t>
      </w:r>
    </w:p>
    <w:p>
      <w:pPr>
        <w:pStyle w:val="ListParagraph"/>
        <w:numPr>
          <w:ilvl w:val="0"/>
          <w:numId w:val="8"/>
        </w:numPr>
        <w:spacing w:after="140" w:line="268"/>
      </w:pPr>
      <w:r>
        <w:rPr>
          <w:rFonts w:ascii="Calibri" w:cs="Calibri" w:eastAsia="Calibri" w:hAnsi="Calibri"/>
          <w:b/>
          <w:bCs/>
          <w:color w:val="0B4F3C"/>
          <w:sz w:val="21"/>
          <w:szCs w:val="21"/>
        </w:rPr>
        <w:t xml:space="preserve">Cooperative Infrastructure Participation Certificates (CIPCs):</w:t>
      </w:r>
      <w:r>
        <w:rPr>
          <w:rFonts w:ascii="Calibri" w:cs="Calibri" w:eastAsia="Calibri" w:hAnsi="Calibri"/>
          <w:color w:val="1F2421"/>
          <w:sz w:val="21"/>
          <w:szCs w:val="21"/>
        </w:rPr>
        <w:t xml:space="preserve"> Mobilizes ₹3,000–6,000 Cr from surplus cooperative bank deposits (out of Kerala's ₹2.94 lakh crore NRI/cooperative reserves) as senior-subordinated certificates yielding 150–200 bps over deposit rates, secured on node LVC pools.</w:t>
      </w:r>
    </w:p>
    <w:p>
      <w:pPr>
        <w:pStyle w:val="ListParagraph"/>
        <w:numPr>
          <w:ilvl w:val="0"/>
          <w:numId w:val="8"/>
        </w:numPr>
        <w:spacing w:after="140" w:line="268"/>
      </w:pPr>
      <w:r>
        <w:rPr>
          <w:rFonts w:ascii="Calibri" w:cs="Calibri" w:eastAsia="Calibri" w:hAnsi="Calibri"/>
          <w:b/>
          <w:bCs/>
          <w:color w:val="0B4F3C"/>
          <w:sz w:val="21"/>
          <w:szCs w:val="21"/>
        </w:rPr>
        <w:t xml:space="preserve">Pravasi Infrastructure Bonds (Israel Model):</w:t>
      </w:r>
      <w:r>
        <w:rPr>
          <w:rFonts w:ascii="Calibri" w:cs="Calibri" w:eastAsia="Calibri" w:hAnsi="Calibri"/>
          <w:color w:val="1F2421"/>
          <w:sz w:val="21"/>
          <w:szCs w:val="21"/>
        </w:rPr>
        <w:t xml:space="preserve"> Non-tradeable community savings bonds targeting ₹2,500–4,000 Cr from the 3.5-million-strong diaspora across 5/10/15-year ladders, backed by named node Land Value Capture (LVC) indices.</w:t>
      </w:r>
    </w:p>
    <w:p>
      <w:pPr>
        <w:pStyle w:val="ListParagraph"/>
        <w:numPr>
          <w:ilvl w:val="0"/>
          <w:numId w:val="8"/>
        </w:numPr>
        <w:spacing w:after="140" w:line="268"/>
      </w:pPr>
      <w:r>
        <w:rPr>
          <w:rFonts w:ascii="Calibri" w:cs="Calibri" w:eastAsia="Calibri" w:hAnsi="Calibri"/>
          <w:b/>
          <w:bCs/>
          <w:color w:val="0B4F3C"/>
          <w:sz w:val="21"/>
          <w:szCs w:val="21"/>
        </w:rPr>
        <w:t xml:space="preserve">Internal Accruals:</w:t>
      </w:r>
      <w:r>
        <w:rPr>
          <w:rFonts w:ascii="Calibri" w:cs="Calibri" w:eastAsia="Calibri" w:hAnsi="Calibri"/>
          <w:color w:val="1F2421"/>
          <w:sz w:val="21"/>
          <w:szCs w:val="21"/>
        </w:rPr>
        <w:t xml:space="preserve"> Premium FSI sales (8.0x–10.0x) and ground-lease revenues generate ₹4,000–7,000 Cr in internal accruals between 2029 and 2035.</w:t>
      </w:r>
    </w:p>
    <w:p>
      <w:r>
        <w:br w:type="page"/>
      </w:r>
    </w:p>
    <w:p>
      <w:pPr>
        <w:pStyle w:val="Heading1"/>
        <w:pBdr>
          <w:bottom w:val="single" w:color="B08D2E" w:sz="12" w:space="6"/>
        </w:pBdr>
        <w:spacing w:after="240" w:before="480"/>
      </w:pPr>
      <w:r>
        <w:rPr>
          <w:rFonts w:ascii="Calibri" w:cs="Calibri" w:eastAsia="Calibri" w:hAnsi="Calibri"/>
          <w:b/>
          <w:bCs/>
          <w:color w:val="B08D2E"/>
          <w:sz w:val="22"/>
          <w:szCs w:val="22"/>
        </w:rPr>
        <w:t xml:space="preserve">SECTION 9  |  </w:t>
      </w:r>
      <w:r>
        <w:rPr>
          <w:rFonts w:ascii="Calibri" w:cs="Calibri" w:eastAsia="Calibri" w:hAnsi="Calibri"/>
          <w:b/>
          <w:bCs/>
          <w:color w:val="0B4F3C"/>
          <w:sz w:val="30"/>
          <w:szCs w:val="30"/>
        </w:rPr>
        <w:t xml:space="preserve">Forensic Gap Analysis &amp; 36-Month Implementation Timeline</w:t>
      </w:r>
    </w:p>
    <w:p>
      <w:pPr>
        <w:pStyle w:val="Heading2"/>
        <w:spacing w:after="160" w:before="320"/>
      </w:pPr>
      <w:r>
        <w:rPr>
          <w:rFonts w:ascii="Calibri" w:cs="Calibri" w:eastAsia="Calibri" w:hAnsi="Calibri"/>
          <w:b/>
          <w:bCs/>
          <w:color w:val="146C4F"/>
          <w:sz w:val="25"/>
          <w:szCs w:val="25"/>
        </w:rPr>
        <w:t xml:space="preserve">9.1  Forensic Gap Analysis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403"/>
        <w:gridCol w:w="1216"/>
        <w:gridCol w:w="3366"/>
        <w:gridCol w:w="3366"/>
      </w:tblGrid>
      <w:tr>
        <w:trPr>
          <w:tblHeader/>
        </w:trPr>
        <w:tc>
          <w:tcPr>
            <w:tcW w:type="dxa" w:w="1403"/>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Strategic Domain</w:t>
            </w:r>
          </w:p>
        </w:tc>
        <w:tc>
          <w:tcPr>
            <w:tcW w:type="dxa" w:w="1216"/>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Gap Severity</w:t>
            </w:r>
          </w:p>
        </w:tc>
        <w:tc>
          <w:tcPr>
            <w:tcW w:type="dxa" w:w="3366"/>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Government Status Quo (Aug 2026)</w:t>
            </w:r>
          </w:p>
        </w:tc>
        <w:tc>
          <w:tcPr>
            <w:tcW w:type="dxa" w:w="3366"/>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K-GBA Proposed Master Plan</w:t>
            </w:r>
          </w:p>
        </w:tc>
      </w:tr>
      <w:tr>
        <w:tc>
          <w:tcPr>
            <w:tcW w:type="dxa" w:w="140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Land Acquisition</w:t>
            </w:r>
          </w:p>
        </w:tc>
        <w:tc>
          <w:tcPr>
            <w:tcW w:type="dxa" w:w="121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9B2C2C"/>
                <w:sz w:val="18"/>
                <w:szCs w:val="18"/>
              </w:rPr>
              <w:t xml:space="preserve">CRITICAL</w:t>
            </w:r>
          </w:p>
        </w:tc>
        <w:tc>
          <w:tcPr>
            <w:tcW w:type="dxa" w:w="336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Cash acquisition of 363.73 Ha highway footprint only; 12-month 3(D) clock running; no mechanism for ancillary land bank</w:t>
            </w:r>
          </w:p>
        </w:tc>
        <w:tc>
          <w:tcPr>
            <w:tcW w:type="dxa" w:w="336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Statutory Citizen-Equity Land Pooling Act; K-GBA SPV with 60%/55% confirmation thresholds; floor-price put option</w:t>
            </w:r>
          </w:p>
        </w:tc>
      </w:tr>
      <w:tr>
        <w:tc>
          <w:tcPr>
            <w:tcW w:type="dxa" w:w="1403"/>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Agricultural Leasing</w:t>
            </w:r>
          </w:p>
        </w:tc>
        <w:tc>
          <w:tcPr>
            <w:tcW w:type="dxa" w:w="1216"/>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9B2C2C"/>
                <w:sz w:val="18"/>
                <w:szCs w:val="18"/>
              </w:rPr>
              <w:t xml:space="preserve">CRITICAL</w:t>
            </w:r>
          </w:p>
        </w:tc>
        <w:tc>
          <w:tcPr>
            <w:tcW w:type="dxa" w:w="3366"/>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Prohibition on tenancy under KLR Act; fallowing endemic on 44-cent plots</w:t>
            </w:r>
          </w:p>
        </w:tc>
        <w:tc>
          <w:tcPr>
            <w:tcW w:type="dxa" w:w="3366"/>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Statutory long-lease pooling channel; TDR conservation certificates for wetland/Ghats protection</w:t>
            </w:r>
          </w:p>
        </w:tc>
      </w:tr>
      <w:tr>
        <w:tc>
          <w:tcPr>
            <w:tcW w:type="dxa" w:w="140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Infrastructure Financing</w:t>
            </w:r>
          </w:p>
        </w:tc>
        <w:tc>
          <w:tcPr>
            <w:tcW w:type="dxa" w:w="121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9C6B12"/>
                <w:sz w:val="18"/>
                <w:szCs w:val="18"/>
              </w:rPr>
              <w:t xml:space="preserve">HIGH</w:t>
            </w:r>
          </w:p>
        </w:tc>
        <w:tc>
          <w:tcPr>
            <w:tcW w:type="dxa" w:w="336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On-budget state equity pressure; CapEx collapsed at 1.34% GSDP; off-budget borrowing deducted by Centre</w:t>
            </w:r>
          </w:p>
        </w:tc>
        <w:tc>
          <w:tcPr>
            <w:tcW w:type="dxa" w:w="336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Fully off-balance-sheet SPV stack: ₹424 Cr waiver equity credit + CIPCs + Pravasi LVC Bonds</w:t>
            </w:r>
          </w:p>
        </w:tc>
      </w:tr>
      <w:tr>
        <w:tc>
          <w:tcPr>
            <w:tcW w:type="dxa" w:w="1403"/>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Spatial Density</w:t>
            </w:r>
          </w:p>
        </w:tc>
        <w:tc>
          <w:tcPr>
            <w:tcW w:type="dxa" w:w="1216"/>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9C6B12"/>
                <w:sz w:val="18"/>
                <w:szCs w:val="18"/>
              </w:rPr>
              <w:t xml:space="preserve">HIGH</w:t>
            </w:r>
          </w:p>
        </w:tc>
        <w:tc>
          <w:tcPr>
            <w:tcW w:type="dxa" w:w="3366"/>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Unmanaged horizontal ribbon sprawl (FSI 0.6–1.0) along arterials</w:t>
            </w:r>
          </w:p>
        </w:tc>
        <w:tc>
          <w:tcPr>
            <w:tcW w:type="dxa" w:w="3366"/>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FSI 8.0x–10.0x TOD nodes at major interchanges; 85% ribbon wetland/agri conservation</w:t>
            </w:r>
          </w:p>
        </w:tc>
      </w:tr>
      <w:tr>
        <w:tc>
          <w:tcPr>
            <w:tcW w:type="dxa" w:w="140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Freight Integration</w:t>
            </w:r>
          </w:p>
        </w:tc>
        <w:tc>
          <w:tcPr>
            <w:tcW w:type="dxa" w:w="121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46C4F"/>
                <w:sz w:val="18"/>
                <w:szCs w:val="18"/>
              </w:rPr>
              <w:t xml:space="preserve">MODERATE</w:t>
            </w:r>
          </w:p>
        </w:tc>
        <w:tc>
          <w:tcPr>
            <w:tcW w:type="dxa" w:w="336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Port/airport freight extruded through urban bottlenecks; sea-air transfer takes 90–140 mins</w:t>
            </w:r>
          </w:p>
        </w:tc>
        <w:tc>
          <w:tcPr>
            <w:tcW w:type="dxa" w:w="336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Aroor cloverleaf + ICTT ramps; Mattoor bonded spur (sub-40 min sea-air); Puthencruz FTWZ dry port</w:t>
            </w:r>
          </w:p>
        </w:tc>
      </w:tr>
    </w:tbl>
    <w:p>
      <w:pPr>
        <w:spacing w:after="220"/>
      </w:pPr>
    </w:p>
    <w:p>
      <w:pPr>
        <w:pStyle w:val="Heading2"/>
        <w:spacing w:after="160" w:before="320"/>
      </w:pPr>
      <w:r>
        <w:rPr>
          <w:rFonts w:ascii="Calibri" w:cs="Calibri" w:eastAsia="Calibri" w:hAnsi="Calibri"/>
          <w:b/>
          <w:bCs/>
          <w:color w:val="146C4F"/>
          <w:sz w:val="25"/>
          <w:szCs w:val="25"/>
        </w:rPr>
        <w:t xml:space="preserve">9.2  36-Month Strategic Implementation Timeline (2026–2029)</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0B4F3C" w:sz="4"/>
              <w:left w:val="single" w:color="0B4F3C" w:sz="4"/>
              <w:bottom w:val="single" w:color="0B4F3C" w:sz="4"/>
              <w:right w:val="single" w:color="0B4F3C" w:sz="4"/>
            </w:tcBorders>
            <w:shd w:fill="0B4F3C" w:val="clear"/>
            <w:tcMar>
              <w:top w:type="dxa" w:w="110"/>
              <w:left w:type="dxa" w:w="160"/>
              <w:bottom w:type="dxa" w:w="110"/>
              <w:right w:type="dxa" w:w="160"/>
            </w:tcMar>
          </w:tcPr>
          <w:p>
            <w:pPr>
              <w:jc w:val="center"/>
            </w:pPr>
            <w:r>
              <w:rPr>
                <w:rFonts w:ascii="Calibri" w:cs="Calibri" w:eastAsia="Calibri" w:hAnsi="Calibri"/>
                <w:b/>
                <w:bCs/>
                <w:color w:val="FFFFFF"/>
                <w:sz w:val="21"/>
                <w:szCs w:val="21"/>
              </w:rPr>
              <w:t xml:space="preserve">36-MONTH EXECUTION ROADMAP</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Months 01–06</w:t>
            </w:r>
          </w:p>
          <w:p>
            <w:pPr>
              <w:spacing w:before="20"/>
            </w:pPr>
            <w:r>
              <w:rPr>
                <w:rFonts w:ascii="Calibri" w:cs="Calibri" w:eastAsia="Calibri" w:hAnsi="Calibri"/>
                <w:color w:val="1F2421"/>
                <w:sz w:val="18"/>
                <w:szCs w:val="18"/>
              </w:rPr>
              <w:t xml:space="preserve">Pass Land Pooling &amp; Agricultural Leasing Legislation</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Months 07–12</w:t>
            </w:r>
          </w:p>
          <w:p>
            <w:pPr>
              <w:spacing w:before="20"/>
            </w:pPr>
            <w:r>
              <w:rPr>
                <w:rFonts w:ascii="Calibri" w:cs="Calibri" w:eastAsia="Calibri" w:hAnsi="Calibri"/>
                <w:color w:val="1F2421"/>
                <w:sz w:val="18"/>
                <w:szCs w:val="18"/>
              </w:rPr>
              <w:t xml:space="preserve">Form Corridor SPVs &amp; Complete GIS Boundary Surveys</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Months 13–18</w:t>
            </w:r>
          </w:p>
          <w:p>
            <w:pPr>
              <w:spacing w:before="20"/>
            </w:pPr>
            <w:r>
              <w:rPr>
                <w:rFonts w:ascii="Calibri" w:cs="Calibri" w:eastAsia="Calibri" w:hAnsi="Calibri"/>
                <w:color w:val="1F2421"/>
                <w:sz w:val="18"/>
                <w:szCs w:val="18"/>
              </w:rPr>
              <w:t xml:space="preserve">Issue First CIPC Tranche &amp; Begin Mattoor Air-Cargo Enclave</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Months 19–24</w:t>
            </w:r>
          </w:p>
          <w:p>
            <w:pPr>
              <w:spacing w:before="20"/>
            </w:pPr>
            <w:r>
              <w:rPr>
                <w:rFonts w:ascii="Calibri" w:cs="Calibri" w:eastAsia="Calibri" w:hAnsi="Calibri"/>
                <w:color w:val="1F2421"/>
                <w:sz w:val="18"/>
                <w:szCs w:val="18"/>
              </w:rPr>
              <w:t xml:space="preserve">Execute Puthencruz Dry Port &amp; FSI Deregulation</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Months 25–36</w:t>
            </w:r>
          </w:p>
          <w:p>
            <w:pPr>
              <w:spacing w:before="20"/>
            </w:pPr>
            <w:r>
              <w:rPr>
                <w:rFonts w:ascii="Calibri" w:cs="Calibri" w:eastAsia="Calibri" w:hAnsi="Calibri"/>
                <w:color w:val="1F2421"/>
                <w:sz w:val="18"/>
                <w:szCs w:val="18"/>
              </w:rPr>
              <w:t xml:space="preserve">Complete Phase 1 ORR Construction &amp; Transit-Hub Infill</w:t>
            </w:r>
          </w:p>
        </w:tc>
      </w:tr>
    </w:tbl>
    <w:p>
      <w:pPr>
        <w:spacing w:after="220"/>
      </w:pPr>
    </w:p>
    <w:p>
      <w:pPr>
        <w:pStyle w:val="ListParagraph"/>
        <w:numPr>
          <w:ilvl w:val="0"/>
          <w:numId w:val="9"/>
        </w:numPr>
        <w:spacing w:after="140" w:line="268"/>
      </w:pPr>
      <w:r>
        <w:rPr>
          <w:rFonts w:ascii="Calibri" w:cs="Calibri" w:eastAsia="Calibri" w:hAnsi="Calibri"/>
          <w:b/>
          <w:bCs/>
          <w:color w:val="0B4F3C"/>
          <w:sz w:val="21"/>
          <w:szCs w:val="21"/>
        </w:rPr>
        <w:t xml:space="preserve">Tranche 1 (Months 0–6 / Aug 2026–Jan 2027):</w:t>
      </w:r>
      <w:r>
        <w:rPr>
          <w:rFonts w:ascii="Calibri" w:cs="Calibri" w:eastAsia="Calibri" w:hAnsi="Calibri"/>
          <w:color w:val="1F2421"/>
          <w:sz w:val="21"/>
          <w:szCs w:val="21"/>
        </w:rPr>
        <w:t xml:space="preserve"> Scale CALA review teams across 20 villages. Draft the Citizen-Equity Land Pooling Bill. Notify development-permission freeze overlays on all 4 TOD nodes and Kakkanad radials.</w:t>
      </w:r>
    </w:p>
    <w:p>
      <w:pPr>
        <w:pStyle w:val="ListParagraph"/>
        <w:numPr>
          <w:ilvl w:val="0"/>
          <w:numId w:val="9"/>
        </w:numPr>
        <w:spacing w:after="140" w:line="268"/>
      </w:pPr>
      <w:r>
        <w:rPr>
          <w:rFonts w:ascii="Calibri" w:cs="Calibri" w:eastAsia="Calibri" w:hAnsi="Calibri"/>
          <w:b/>
          <w:bCs/>
          <w:color w:val="0B4F3C"/>
          <w:sz w:val="21"/>
          <w:szCs w:val="21"/>
        </w:rPr>
        <w:t xml:space="preserve">Tranche 2 (Months 6–12 / Feb–Jul 2027):</w:t>
      </w:r>
      <w:r>
        <w:rPr>
          <w:rFonts w:ascii="Calibri" w:cs="Calibri" w:eastAsia="Calibri" w:hAnsi="Calibri"/>
          <w:color w:val="1F2421"/>
          <w:sz w:val="21"/>
          <w:szCs w:val="21"/>
        </w:rPr>
        <w:t xml:space="preserve"> Pass the Pooling Act. Clear all Section 3(D) notifications by Month 9–11, preventing statutory lapse. Book ₹424 Cr waiver as SPV equity.</w:t>
      </w:r>
    </w:p>
    <w:p>
      <w:pPr>
        <w:pStyle w:val="ListParagraph"/>
        <w:numPr>
          <w:ilvl w:val="0"/>
          <w:numId w:val="9"/>
        </w:numPr>
        <w:spacing w:after="140" w:line="268"/>
      </w:pPr>
      <w:r>
        <w:rPr>
          <w:rFonts w:ascii="Calibri" w:cs="Calibri" w:eastAsia="Calibri" w:hAnsi="Calibri"/>
          <w:b/>
          <w:bCs/>
          <w:color w:val="0B4F3C"/>
          <w:sz w:val="21"/>
          <w:szCs w:val="21"/>
        </w:rPr>
        <w:t xml:space="preserve">Tranche 3 (Months 12–18 / Aug 2027–Jan 2028):</w:t>
      </w:r>
      <w:r>
        <w:rPr>
          <w:rFonts w:ascii="Calibri" w:cs="Calibri" w:eastAsia="Calibri" w:hAnsi="Calibri"/>
          <w:color w:val="1F2421"/>
          <w:sz w:val="21"/>
          <w:szCs w:val="21"/>
        </w:rPr>
        <w:t xml:space="preserve"> NHAI awards 100% land funding. Tender 3 civil EPC/HAM packages. Issue initial CIPC tranche (₹600–750 Cr).</w:t>
      </w:r>
    </w:p>
    <w:p>
      <w:pPr>
        <w:pStyle w:val="ListParagraph"/>
        <w:numPr>
          <w:ilvl w:val="0"/>
          <w:numId w:val="9"/>
        </w:numPr>
        <w:spacing w:after="140" w:line="268"/>
      </w:pPr>
      <w:r>
        <w:rPr>
          <w:rFonts w:ascii="Calibri" w:cs="Calibri" w:eastAsia="Calibri" w:hAnsi="Calibri"/>
          <w:b/>
          <w:bCs/>
          <w:color w:val="0B4F3C"/>
          <w:sz w:val="21"/>
          <w:szCs w:val="21"/>
        </w:rPr>
        <w:t xml:space="preserve">Tranche 4 (Months 18–24 / Feb–Jul 2028):</w:t>
      </w:r>
      <w:r>
        <w:rPr>
          <w:rFonts w:ascii="Calibri" w:cs="Calibri" w:eastAsia="Calibri" w:hAnsi="Calibri"/>
          <w:color w:val="1F2421"/>
          <w:sz w:val="21"/>
          <w:szCs w:val="21"/>
        </w:rPr>
        <w:t xml:space="preserve"> Declare package appointed dates upon 90% encumbrance-free land delivery. Commence ground improvement on Kumbalam–Aroor marine clays. Launch Pravasi Bond Series-A.</w:t>
      </w:r>
    </w:p>
    <w:p>
      <w:pPr>
        <w:pStyle w:val="ListParagraph"/>
        <w:numPr>
          <w:ilvl w:val="0"/>
          <w:numId w:val="9"/>
        </w:numPr>
        <w:spacing w:after="140" w:line="268"/>
      </w:pPr>
      <w:r>
        <w:rPr>
          <w:rFonts w:ascii="Calibri" w:cs="Calibri" w:eastAsia="Calibri" w:hAnsi="Calibri"/>
          <w:b/>
          <w:bCs/>
          <w:color w:val="0B4F3C"/>
          <w:sz w:val="21"/>
          <w:szCs w:val="21"/>
        </w:rPr>
        <w:t xml:space="preserve">Tranche 5 (Months 24–30 / Aug 2028–Jan 2029):</w:t>
      </w:r>
      <w:r>
        <w:rPr>
          <w:rFonts w:ascii="Calibri" w:cs="Calibri" w:eastAsia="Calibri" w:hAnsi="Calibri"/>
          <w:color w:val="1F2421"/>
          <w:sz w:val="21"/>
          <w:szCs w:val="21"/>
        </w:rPr>
        <w:t xml:space="preserve"> Execute all mainline civil works. Begin construction on the Mattoor CIAL spur and Puthencruz FTWZ dry port.</w:t>
      </w:r>
    </w:p>
    <w:p>
      <w:pPr>
        <w:pStyle w:val="ListParagraph"/>
        <w:numPr>
          <w:ilvl w:val="0"/>
          <w:numId w:val="9"/>
        </w:numPr>
        <w:spacing w:after="140" w:line="268"/>
      </w:pPr>
      <w:r>
        <w:rPr>
          <w:rFonts w:ascii="Calibri" w:cs="Calibri" w:eastAsia="Calibri" w:hAnsi="Calibri"/>
          <w:b/>
          <w:bCs/>
          <w:color w:val="0B4F3C"/>
          <w:sz w:val="21"/>
          <w:szCs w:val="21"/>
        </w:rPr>
        <w:t xml:space="preserve">Tranche 6 (Months 30–36 / Feb–Jul 2029):</w:t>
      </w:r>
      <w:r>
        <w:rPr>
          <w:rFonts w:ascii="Calibri" w:cs="Calibri" w:eastAsia="Calibri" w:hAnsi="Calibri"/>
          <w:color w:val="1F2421"/>
          <w:sz w:val="21"/>
          <w:szCs w:val="21"/>
        </w:rPr>
        <w:t xml:space="preserve"> Deliver initial serviced return plots at Puthencruz. Monetize initial FSI premiums. Mainline civil completion reaches ≥45%.</w:t>
      </w:r>
    </w:p>
    <w:p>
      <w:r>
        <w:br w:type="page"/>
      </w:r>
    </w:p>
    <w:p>
      <w:pPr>
        <w:pStyle w:val="Heading1"/>
        <w:pBdr>
          <w:bottom w:val="single" w:color="B08D2E" w:sz="12" w:space="6"/>
        </w:pBdr>
        <w:spacing w:after="240" w:before="480"/>
      </w:pPr>
      <w:r>
        <w:rPr>
          <w:rFonts w:ascii="Calibri" w:cs="Calibri" w:eastAsia="Calibri" w:hAnsi="Calibri"/>
          <w:b/>
          <w:bCs/>
          <w:color w:val="B08D2E"/>
          <w:sz w:val="22"/>
          <w:szCs w:val="22"/>
        </w:rPr>
        <w:t xml:space="preserve">SECTION 10  |  </w:t>
      </w:r>
      <w:r>
        <w:rPr>
          <w:rFonts w:ascii="Calibri" w:cs="Calibri" w:eastAsia="Calibri" w:hAnsi="Calibri"/>
          <w:b/>
          <w:bCs/>
          <w:color w:val="0B4F3C"/>
          <w:sz w:val="30"/>
          <w:szCs w:val="30"/>
        </w:rPr>
        <w:t xml:space="preserve">Financial Budget, Land Valuation, Historical Benchmarking &amp; Risk Mitigation</w:t>
      </w:r>
    </w:p>
    <w:p>
      <w:pPr>
        <w:pStyle w:val="Heading2"/>
        <w:spacing w:after="160" w:before="320"/>
      </w:pPr>
      <w:r>
        <w:rPr>
          <w:rFonts w:ascii="Calibri" w:cs="Calibri" w:eastAsia="Calibri" w:hAnsi="Calibri"/>
          <w:b/>
          <w:bCs/>
          <w:color w:val="146C4F"/>
          <w:sz w:val="25"/>
          <w:szCs w:val="25"/>
        </w:rPr>
        <w:t xml:space="preserve">10.1  Zone-by-Zone Land Valuation Table</w:t>
      </w:r>
    </w:p>
    <w:p>
      <w:pPr>
        <w:spacing w:after="160" w:before="0" w:line="276"/>
      </w:pPr>
      <w:r>
        <w:rPr>
          <w:rFonts w:ascii="Calibri" w:cs="Calibri" w:eastAsia="Calibri" w:hAnsi="Calibri"/>
          <w:color w:val="1F2421"/>
          <w:sz w:val="21"/>
          <w:szCs w:val="21"/>
        </w:rPr>
        <w:t xml:space="preserve">Evaluating fair values against actual market transactions across four micro-zones along the 49.5-km alignment reveals a 40%–50% fair-value lag, driving Section 26 LARR litigation under conventional acquisition: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057"/>
        <w:gridCol w:w="2431"/>
        <w:gridCol w:w="1496"/>
        <w:gridCol w:w="1496"/>
        <w:gridCol w:w="935"/>
        <w:gridCol w:w="935"/>
      </w:tblGrid>
      <w:tr>
        <w:trPr>
          <w:tblHeader/>
        </w:trPr>
        <w:tc>
          <w:tcPr>
            <w:tcW w:type="dxa" w:w="2057"/>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Micro-Zone</w:t>
            </w:r>
          </w:p>
        </w:tc>
        <w:tc>
          <w:tcPr>
            <w:tcW w:type="dxa" w:w="2431"/>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Corridor Reach</w:t>
            </w:r>
          </w:p>
        </w:tc>
        <w:tc>
          <w:tcPr>
            <w:tcW w:type="dxa" w:w="1496"/>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Fair Value (₹Cr/ac)</w:t>
            </w:r>
          </w:p>
        </w:tc>
        <w:tc>
          <w:tcPr>
            <w:tcW w:type="dxa" w:w="1496"/>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Market Rate (₹Cr/ac)</w:t>
            </w:r>
          </w:p>
        </w:tc>
        <w:tc>
          <w:tcPr>
            <w:tcW w:type="dxa" w:w="935"/>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Lag</w:t>
            </w:r>
          </w:p>
        </w:tc>
        <w:tc>
          <w:tcPr>
            <w:tcW w:type="dxa" w:w="935"/>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Acreage</w:t>
            </w:r>
          </w:p>
        </w:tc>
      </w:tr>
      <w:tr>
        <w:tc>
          <w:tcPr>
            <w:tcW w:type="dxa" w:w="2057"/>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Zone A — Southern Terminus</w:t>
            </w:r>
          </w:p>
        </w:tc>
        <w:tc>
          <w:tcPr>
            <w:tcW w:type="dxa" w:w="2431"/>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Seg. 5 (Aroor, Maradu, Kumbalam)</w:t>
            </w:r>
          </w:p>
        </w:tc>
        <w:tc>
          <w:tcPr>
            <w:tcW w:type="dxa" w:w="149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₹1.60–2.20 Cr</w:t>
            </w:r>
          </w:p>
        </w:tc>
        <w:tc>
          <w:tcPr>
            <w:tcW w:type="dxa" w:w="149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₹2.80–4.50 Cr</w:t>
            </w:r>
          </w:p>
        </w:tc>
        <w:tc>
          <w:tcPr>
            <w:tcW w:type="dxa" w:w="935"/>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43%–49%</w:t>
            </w:r>
          </w:p>
        </w:tc>
        <w:tc>
          <w:tcPr>
            <w:tcW w:type="dxa" w:w="935"/>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~120 ac</w:t>
            </w:r>
          </w:p>
        </w:tc>
      </w:tr>
      <w:tr>
        <w:tc>
          <w:tcPr>
            <w:tcW w:type="dxa" w:w="2057"/>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Zone B — Eastern Suburbs</w:t>
            </w:r>
          </w:p>
        </w:tc>
        <w:tc>
          <w:tcPr>
            <w:tcW w:type="dxa" w:w="2431"/>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Seg. 4 (Thiruvankulam, Maradu fringe)</w:t>
            </w:r>
          </w:p>
        </w:tc>
        <w:tc>
          <w:tcPr>
            <w:tcW w:type="dxa" w:w="1496"/>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₹1.40–1.90 Cr</w:t>
            </w:r>
          </w:p>
        </w:tc>
        <w:tc>
          <w:tcPr>
            <w:tcW w:type="dxa" w:w="1496"/>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₹2.40–3.80 Cr</w:t>
            </w:r>
          </w:p>
        </w:tc>
        <w:tc>
          <w:tcPr>
            <w:tcW w:type="dxa" w:w="935"/>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42%–50%</w:t>
            </w:r>
          </w:p>
        </w:tc>
        <w:tc>
          <w:tcPr>
            <w:tcW w:type="dxa" w:w="935"/>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~140 ac</w:t>
            </w:r>
          </w:p>
        </w:tc>
      </w:tr>
      <w:tr>
        <w:tc>
          <w:tcPr>
            <w:tcW w:type="dxa" w:w="2057"/>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Zone C — Industrial Belt</w:t>
            </w:r>
          </w:p>
        </w:tc>
        <w:tc>
          <w:tcPr>
            <w:tcW w:type="dxa" w:w="2431"/>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Seg. 2–3 (Puthencruz, Karimugal)</w:t>
            </w:r>
          </w:p>
        </w:tc>
        <w:tc>
          <w:tcPr>
            <w:tcW w:type="dxa" w:w="149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₹0.45–0.75 Cr</w:t>
            </w:r>
          </w:p>
        </w:tc>
        <w:tc>
          <w:tcPr>
            <w:tcW w:type="dxa" w:w="1496"/>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₹0.80–1.40 Cr</w:t>
            </w:r>
          </w:p>
        </w:tc>
        <w:tc>
          <w:tcPr>
            <w:tcW w:type="dxa" w:w="935"/>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44%–46%</w:t>
            </w:r>
          </w:p>
        </w:tc>
        <w:tc>
          <w:tcPr>
            <w:tcW w:type="dxa" w:w="935"/>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~380 ac</w:t>
            </w:r>
          </w:p>
        </w:tc>
      </w:tr>
      <w:tr>
        <w:tc>
          <w:tcPr>
            <w:tcW w:type="dxa" w:w="2057"/>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Zone D — Northern Gateway</w:t>
            </w:r>
          </w:p>
        </w:tc>
        <w:tc>
          <w:tcPr>
            <w:tcW w:type="dxa" w:w="2431"/>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Seg. 1 (Angamaly, Mattoor)</w:t>
            </w:r>
          </w:p>
        </w:tc>
        <w:tc>
          <w:tcPr>
            <w:tcW w:type="dxa" w:w="1496"/>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₹0.70–1.10 Cr</w:t>
            </w:r>
          </w:p>
        </w:tc>
        <w:tc>
          <w:tcPr>
            <w:tcW w:type="dxa" w:w="1496"/>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₹1.20–2.00 Cr</w:t>
            </w:r>
          </w:p>
        </w:tc>
        <w:tc>
          <w:tcPr>
            <w:tcW w:type="dxa" w:w="935"/>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42%–45%</w:t>
            </w:r>
          </w:p>
        </w:tc>
        <w:tc>
          <w:tcPr>
            <w:tcW w:type="dxa" w:w="935"/>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~259 ac</w:t>
            </w:r>
          </w:p>
        </w:tc>
      </w:tr>
    </w:tbl>
    <w:p>
      <w:pPr>
        <w:spacing w:after="220"/>
      </w:pPr>
    </w:p>
    <w:p>
      <w:pPr>
        <w:pStyle w:val="Heading2"/>
        <w:spacing w:after="160" w:before="320"/>
      </w:pPr>
      <w:r>
        <w:rPr>
          <w:rFonts w:ascii="Calibri" w:cs="Calibri" w:eastAsia="Calibri" w:hAnsi="Calibri"/>
          <w:b/>
          <w:bCs/>
          <w:color w:val="146C4F"/>
          <w:sz w:val="25"/>
          <w:szCs w:val="25"/>
        </w:rPr>
        <w:t xml:space="preserve">10.2  Financial Comparison: Conventional LARR vs. Citizen-Equity Land Pooling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0B4F3C" w:sz="4"/>
              <w:left w:val="single" w:color="0B4F3C" w:sz="4"/>
              <w:bottom w:val="single" w:color="0B4F3C" w:sz="4"/>
              <w:right w:val="single" w:color="0B4F3C" w:sz="4"/>
            </w:tcBorders>
            <w:shd w:fill="0B4F3C" w:val="clear"/>
            <w:tcMar>
              <w:top w:type="dxa" w:w="110"/>
              <w:left w:type="dxa" w:w="160"/>
              <w:bottom w:type="dxa" w:w="110"/>
              <w:right w:type="dxa" w:w="160"/>
            </w:tcMar>
          </w:tcPr>
          <w:p>
            <w:pPr>
              <w:jc w:val="center"/>
            </w:pPr>
            <w:r>
              <w:rPr>
                <w:rFonts w:ascii="Calibri" w:cs="Calibri" w:eastAsia="Calibri" w:hAnsi="Calibri"/>
                <w:b/>
                <w:bCs/>
                <w:color w:val="FFFFFF"/>
                <w:sz w:val="21"/>
                <w:szCs w:val="21"/>
              </w:rPr>
              <w:t xml:space="preserve">LAND ACQUISITION COST COMPARISON (898.8 ACRES)</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Conventional LARR Act (Cash Outlay)</w:t>
            </w:r>
          </w:p>
          <w:p>
            <w:pPr>
              <w:spacing w:before="20"/>
            </w:pPr>
            <w:r>
              <w:rPr>
                <w:rFonts w:ascii="Calibri" w:cs="Calibri" w:eastAsia="Calibri" w:hAnsi="Calibri"/>
                <w:color w:val="1F2421"/>
                <w:sz w:val="18"/>
                <w:szCs w:val="18"/>
              </w:rPr>
              <w:t xml:space="preserve">₹2,067.24 Crore</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K-GBA Citizen-Equity Land Pooling Model</w:t>
            </w:r>
          </w:p>
          <w:p>
            <w:pPr>
              <w:spacing w:before="20"/>
            </w:pPr>
            <w:r>
              <w:rPr>
                <w:rFonts w:ascii="Calibri" w:cs="Calibri" w:eastAsia="Calibri" w:hAnsi="Calibri"/>
                <w:color w:val="1F2421"/>
                <w:sz w:val="18"/>
                <w:szCs w:val="18"/>
              </w:rPr>
              <w:t xml:space="preserve">₹520.00 Crore</w:t>
            </w:r>
          </w:p>
        </w:tc>
      </w:tr>
      <w:tr>
        <w:tc>
          <w:tcPr>
            <w:tcW w:type="dxa" w:w="9350"/>
            <w:tcBorders>
              <w:top w:val="single" w:color="FFFFFF" w:sz="4"/>
              <w:left w:val="single" w:color="FFFFFF" w:sz="4"/>
              <w:bottom w:val="single" w:color="FFFFFF" w:sz="4"/>
              <w:right w:val="single" w:color="FFFFFF" w:sz="4"/>
            </w:tcBorders>
            <w:shd w:fill="FFFFFF" w:val="clear"/>
            <w:tcMar>
              <w:top w:type="dxa" w:w="20"/>
              <w:left w:type="dxa" w:w="160"/>
              <w:bottom w:type="dxa" w:w="20"/>
              <w:right w:type="dxa" w:w="160"/>
            </w:tcMar>
          </w:tcPr>
          <w:p>
            <w:pPr>
              <w:jc w:val="center"/>
            </w:pPr>
            <w:r>
              <w:rPr>
                <w:rFonts w:ascii="Calibri" w:cs="Calibri" w:eastAsia="Calibri" w:hAnsi="Calibri"/>
                <w:b/>
                <w:bCs/>
                <w:color w:val="B08D2E"/>
                <w:sz w:val="22"/>
                <w:szCs w:val="22"/>
              </w:rPr>
              <w:t xml:space="preserve">▼</w:t>
            </w:r>
          </w:p>
        </w:tc>
      </w:tr>
      <w:tr>
        <w:tc>
          <w:tcPr>
            <w:tcW w:type="dxa" w:w="9350"/>
            <w:tcBorders>
              <w:top w:val="single" w:color="C9D2CD" w:sz="4"/>
              <w:left w:val="single" w:color="C9D2CD" w:sz="4"/>
              <w:bottom w:val="single" w:color="C9D2CD" w:sz="4"/>
              <w:right w:val="single" w:color="C9D2CD" w:sz="4"/>
            </w:tcBorders>
            <w:shd w:fill="F6EFDC" w:val="clear"/>
            <w:tcMar>
              <w:top w:type="dxa" w:w="90"/>
              <w:left w:type="dxa" w:w="220"/>
              <w:bottom w:type="dxa" w:w="90"/>
              <w:right w:type="dxa" w:w="160"/>
            </w:tcMar>
          </w:tcPr>
          <w:p>
            <w:r>
              <w:rPr>
                <w:rFonts w:ascii="Calibri" w:cs="Calibri" w:eastAsia="Calibri" w:hAnsi="Calibri"/>
                <w:b/>
                <w:bCs/>
                <w:color w:val="0B4F3C"/>
                <w:sz w:val="20"/>
                <w:szCs w:val="20"/>
              </w:rPr>
              <w:t xml:space="preserve">NET DIRECT TREASURY CASH SAVINGS</w:t>
            </w:r>
          </w:p>
          <w:p>
            <w:pPr>
              <w:spacing w:before="20"/>
            </w:pPr>
            <w:r>
              <w:rPr>
                <w:rFonts w:ascii="Calibri" w:cs="Calibri" w:eastAsia="Calibri" w:hAnsi="Calibri"/>
                <w:color w:val="1F2421"/>
                <w:sz w:val="18"/>
                <w:szCs w:val="18"/>
              </w:rPr>
              <w:t xml:space="preserve">₹1,547.24 CRORE (74.8% REDUCTION)</w:t>
            </w:r>
          </w:p>
        </w:tc>
      </w:tr>
    </w:tbl>
    <w:p>
      <w:pPr>
        <w:spacing w:after="220"/>
      </w:pPr>
    </w:p>
    <w:p>
      <w:pPr>
        <w:pStyle w:val="ListParagraph"/>
        <w:numPr>
          <w:ilvl w:val="0"/>
          <w:numId w:val="2"/>
        </w:numPr>
        <w:spacing w:after="120" w:line="268"/>
      </w:pPr>
      <w:r>
        <w:rPr>
          <w:rFonts w:ascii="Calibri" w:cs="Calibri" w:eastAsia="Calibri" w:hAnsi="Calibri"/>
          <w:b/>
          <w:bCs/>
          <w:color w:val="0B4F3C"/>
          <w:sz w:val="21"/>
          <w:szCs w:val="21"/>
        </w:rPr>
        <w:t xml:space="preserve">Conventional LARR Model:</w:t>
      </w:r>
      <w:r>
        <w:rPr>
          <w:rFonts w:ascii="Calibri" w:cs="Calibri" w:eastAsia="Calibri" w:hAnsi="Calibri"/>
          <w:color w:val="1F2421"/>
          <w:sz w:val="21"/>
          <w:szCs w:val="21"/>
        </w:rPr>
        <w:t xml:space="preserve"> 898.8 acres × ₹1.15 Cr/ac weighted average × 2.0 (Multiplier + 100% Solatium) = ₹2,067.24 Crore cash outlay. Adding demolition relief and litigation reserves brings total costs to ₹2,850 Crore.</w:t>
      </w:r>
    </w:p>
    <w:p>
      <w:pPr>
        <w:pStyle w:val="ListParagraph"/>
        <w:numPr>
          <w:ilvl w:val="0"/>
          <w:numId w:val="2"/>
        </w:numPr>
        <w:spacing w:after="120" w:line="268"/>
      </w:pPr>
      <w:r>
        <w:rPr>
          <w:rFonts w:ascii="Calibri" w:cs="Calibri" w:eastAsia="Calibri" w:hAnsi="Calibri"/>
          <w:b/>
          <w:bCs/>
          <w:color w:val="0B4F3C"/>
          <w:sz w:val="21"/>
          <w:szCs w:val="21"/>
        </w:rPr>
        <w:t xml:space="preserve">K-GBA Citizen-Equity Pooling Model:</w:t>
      </w:r>
      <w:r>
        <w:rPr>
          <w:rFonts w:ascii="Calibri" w:cs="Calibri" w:eastAsia="Calibri" w:hAnsi="Calibri"/>
          <w:color w:val="1F2421"/>
          <w:sz w:val="21"/>
          <w:szCs w:val="21"/>
        </w:rPr>
        <w:t xml:space="preserve"> Direct cash outlay is reduced to ₹520 Crore (used strictly for structure compensation and micro-holdings &lt;5 cents). Landowners receive 35% serviced TOD return plots and tradeable REIT units.</w:t>
      </w:r>
    </w:p>
    <w:p>
      <w:pPr>
        <w:pStyle w:val="ListParagraph"/>
        <w:numPr>
          <w:ilvl w:val="0"/>
          <w:numId w:val="2"/>
        </w:numPr>
        <w:spacing w:after="120" w:line="268"/>
      </w:pPr>
      <w:r>
        <w:rPr>
          <w:rFonts w:ascii="Calibri" w:cs="Calibri" w:eastAsia="Calibri" w:hAnsi="Calibri"/>
          <w:b/>
          <w:bCs/>
          <w:color w:val="0B4F3C"/>
          <w:sz w:val="21"/>
          <w:szCs w:val="21"/>
        </w:rPr>
        <w:t xml:space="preserve">Net Treasury Savings:</w:t>
      </w:r>
      <w:r>
        <w:rPr>
          <w:rFonts w:ascii="Calibri" w:cs="Calibri" w:eastAsia="Calibri" w:hAnsi="Calibri"/>
          <w:color w:val="1F2421"/>
          <w:sz w:val="21"/>
          <w:szCs w:val="21"/>
        </w:rPr>
        <w:t xml:space="preserve"> ₹1,547.24 Crore direct cash savings, transforming project feasibility.</w:t>
      </w:r>
    </w:p>
    <w:p>
      <w:pPr>
        <w:pStyle w:val="Heading2"/>
        <w:spacing w:after="160" w:before="320"/>
      </w:pPr>
      <w:r>
        <w:rPr>
          <w:rFonts w:ascii="Calibri" w:cs="Calibri" w:eastAsia="Calibri" w:hAnsi="Calibri"/>
          <w:b/>
          <w:bCs/>
          <w:color w:val="146C4F"/>
          <w:sz w:val="25"/>
          <w:szCs w:val="25"/>
        </w:rPr>
        <w:t xml:space="preserve">10.3  Comprehensive Capital Expenditure (CapEx) Budget (₹6,935.60 Crore)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18"/>
        <w:gridCol w:w="4301"/>
        <w:gridCol w:w="1403"/>
        <w:gridCol w:w="1029"/>
      </w:tblGrid>
      <w:tr>
        <w:trPr>
          <w:tblHeader/>
        </w:trPr>
        <w:tc>
          <w:tcPr>
            <w:tcW w:type="dxa" w:w="2618"/>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Line Item Category</w:t>
            </w:r>
          </w:p>
        </w:tc>
        <w:tc>
          <w:tcPr>
            <w:tcW w:type="dxa" w:w="4301"/>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Scope &amp; Physical Asset Deliverable</w:t>
            </w:r>
          </w:p>
        </w:tc>
        <w:tc>
          <w:tcPr>
            <w:tcW w:type="dxa" w:w="1403"/>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Budget (₹Cr)</w:t>
            </w:r>
          </w:p>
        </w:tc>
        <w:tc>
          <w:tcPr>
            <w:tcW w:type="dxa" w:w="1029"/>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w:t>
            </w:r>
          </w:p>
        </w:tc>
      </w:tr>
      <w:tr>
        <w:tc>
          <w:tcPr>
            <w:tcW w:type="dxa" w:w="2618"/>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1. Land Acquisition &amp; R&amp;R Facilitation</w:t>
            </w:r>
          </w:p>
        </w:tc>
        <w:tc>
          <w:tcPr>
            <w:tcW w:type="dxa" w:w="4301"/>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Direct compensation for structures/holdouts under K-GBA Pooling SPV charter</w:t>
            </w:r>
          </w:p>
        </w:tc>
        <w:tc>
          <w:tcPr>
            <w:tcW w:type="dxa" w:w="140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₹520.00 Cr</w:t>
            </w:r>
          </w:p>
        </w:tc>
        <w:tc>
          <w:tcPr>
            <w:tcW w:type="dxa" w:w="102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7.5%</w:t>
            </w:r>
          </w:p>
        </w:tc>
      </w:tr>
      <w:tr>
        <w:tc>
          <w:tcPr>
            <w:tcW w:type="dxa" w:w="2618"/>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2. Civil Mainline Engineering Works</w:t>
            </w:r>
          </w:p>
        </w:tc>
        <w:tc>
          <w:tcPr>
            <w:tcW w:type="dxa" w:w="4301"/>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49.5 km 8-lane mainline + 2 km CIAL spur (3 EPC/HAM packages)</w:t>
            </w:r>
          </w:p>
        </w:tc>
        <w:tc>
          <w:tcPr>
            <w:tcW w:type="dxa" w:w="1403"/>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₹2,420.00 Cr</w:t>
            </w:r>
          </w:p>
        </w:tc>
        <w:tc>
          <w:tcPr>
            <w:tcW w:type="dxa" w:w="1029"/>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34.9%</w:t>
            </w:r>
          </w:p>
        </w:tc>
      </w:tr>
      <w:tr>
        <w:tc>
          <w:tcPr>
            <w:tcW w:type="dxa" w:w="2618"/>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3. Grade-Separated Interchanges &amp; Structures</w:t>
            </w:r>
          </w:p>
        </w:tc>
        <w:tc>
          <w:tcPr>
            <w:tcW w:type="dxa" w:w="4301"/>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Aroor Cloverleaf (₹380 Cr), Thrippunithura (₹220 Cr), Kodungallur (₹180 Cr), Mattoor (₹140 Cr), minor bridges (₹350 Cr)</w:t>
            </w:r>
          </w:p>
        </w:tc>
        <w:tc>
          <w:tcPr>
            <w:tcW w:type="dxa" w:w="140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₹1,270.00 Cr</w:t>
            </w:r>
          </w:p>
        </w:tc>
        <w:tc>
          <w:tcPr>
            <w:tcW w:type="dxa" w:w="102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18.3%</w:t>
            </w:r>
          </w:p>
        </w:tc>
      </w:tr>
      <w:tr>
        <w:tc>
          <w:tcPr>
            <w:tcW w:type="dxa" w:w="2618"/>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4. Logistics &amp; Infill Infrastructure</w:t>
            </w:r>
          </w:p>
        </w:tc>
        <w:tc>
          <w:tcPr>
            <w:tcW w:type="dxa" w:w="4301"/>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Puthencruz FTWZ Dry Port Phase 1 (₹650 Cr), Mattoor Air-Cargo Terminal (₹320 Cr), K-FON Ducts (₹180 Cr)</w:t>
            </w:r>
          </w:p>
        </w:tc>
        <w:tc>
          <w:tcPr>
            <w:tcW w:type="dxa" w:w="1403"/>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₹1,150.00 Cr</w:t>
            </w:r>
          </w:p>
        </w:tc>
        <w:tc>
          <w:tcPr>
            <w:tcW w:type="dxa" w:w="1029"/>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16.6%</w:t>
            </w:r>
          </w:p>
        </w:tc>
      </w:tr>
      <w:tr>
        <w:tc>
          <w:tcPr>
            <w:tcW w:type="dxa" w:w="2618"/>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5. TOD Serviced Plot Site Preparation</w:t>
            </w:r>
          </w:p>
        </w:tc>
        <w:tc>
          <w:tcPr>
            <w:tcW w:type="dxa" w:w="4301"/>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Water, sewage, power grids, and interior roads for 35% returned land pooling plots</w:t>
            </w:r>
          </w:p>
        </w:tc>
        <w:tc>
          <w:tcPr>
            <w:tcW w:type="dxa" w:w="140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₹820.00 Cr</w:t>
            </w:r>
          </w:p>
        </w:tc>
        <w:tc>
          <w:tcPr>
            <w:tcW w:type="dxa" w:w="102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11.8%</w:t>
            </w:r>
          </w:p>
        </w:tc>
      </w:tr>
      <w:tr>
        <w:tc>
          <w:tcPr>
            <w:tcW w:type="dxa" w:w="2618"/>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6. IDC, Contingency &amp; Price Escalation</w:t>
            </w:r>
          </w:p>
        </w:tc>
        <w:tc>
          <w:tcPr>
            <w:tcW w:type="dxa" w:w="4301"/>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Inflation escalation reserve (5% p.a.) + Interest During Construction (IDC)</w:t>
            </w:r>
          </w:p>
        </w:tc>
        <w:tc>
          <w:tcPr>
            <w:tcW w:type="dxa" w:w="1403"/>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₹755.60 Cr</w:t>
            </w:r>
          </w:p>
        </w:tc>
        <w:tc>
          <w:tcPr>
            <w:tcW w:type="dxa" w:w="1029"/>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10.9%</w:t>
            </w:r>
          </w:p>
        </w:tc>
      </w:tr>
      <w:tr>
        <w:tc>
          <w:tcPr>
            <w:tcW w:type="dxa" w:w="2618"/>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TOTAL PROJECT FINANCIAL BUDGET</w:t>
            </w:r>
          </w:p>
        </w:tc>
        <w:tc>
          <w:tcPr>
            <w:tcW w:type="dxa" w:w="4301"/>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Fully integrated, off-balance-sheet execution</w:t>
            </w:r>
          </w:p>
        </w:tc>
        <w:tc>
          <w:tcPr>
            <w:tcW w:type="dxa" w:w="140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₹6,935.60 Cr</w:t>
            </w:r>
          </w:p>
        </w:tc>
        <w:tc>
          <w:tcPr>
            <w:tcW w:type="dxa" w:w="102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100.0%</w:t>
            </w:r>
          </w:p>
        </w:tc>
      </w:tr>
    </w:tbl>
    <w:p>
      <w:pPr>
        <w:spacing w:after="220"/>
      </w:pPr>
    </w:p>
    <w:p>
      <w:pPr>
        <w:pStyle w:val="Heading2"/>
        <w:spacing w:after="160" w:before="320"/>
      </w:pPr>
      <w:r>
        <w:rPr>
          <w:rFonts w:ascii="Calibri" w:cs="Calibri" w:eastAsia="Calibri" w:hAnsi="Calibri"/>
          <w:b/>
          <w:bCs/>
          <w:color w:val="146C4F"/>
          <w:sz w:val="25"/>
          <w:szCs w:val="25"/>
        </w:rPr>
        <w:t xml:space="preserve">10.4  Historical Benchmark Analysis &amp; Binding Operational Rules</w:t>
      </w:r>
    </w:p>
    <w:p>
      <w:pPr>
        <w:pStyle w:val="ListParagraph"/>
        <w:numPr>
          <w:ilvl w:val="0"/>
          <w:numId w:val="10"/>
        </w:numPr>
        <w:spacing w:after="140" w:line="268"/>
      </w:pPr>
      <w:r>
        <w:rPr>
          <w:rFonts w:ascii="Calibri" w:cs="Calibri" w:eastAsia="Calibri" w:hAnsi="Calibri"/>
          <w:b/>
          <w:bCs/>
          <w:color w:val="0B4F3C"/>
          <w:sz w:val="21"/>
          <w:szCs w:val="21"/>
        </w:rPr>
        <w:t xml:space="preserve">NH-66 Widening Lesson (2-Decade Delay over RoW &amp; Compensation Shifts):</w:t>
      </w:r>
      <w:r>
        <w:rPr>
          <w:rFonts w:ascii="Calibri" w:cs="Calibri" w:eastAsia="Calibri" w:hAnsi="Calibri"/>
          <w:color w:val="1F2421"/>
          <w:sz w:val="21"/>
          <w:szCs w:val="21"/>
        </w:rPr>
        <w:t xml:space="preserve"> Rule 1 (RoW Freeze): RoW (70m) and compensation matrices are constitutionally locked inside the Pooling Act. No package's appointed date is declared until 90% encumbrance-free land is delivered.</w:t>
      </w:r>
    </w:p>
    <w:p>
      <w:pPr>
        <w:pStyle w:val="ListParagraph"/>
        <w:numPr>
          <w:ilvl w:val="0"/>
          <w:numId w:val="10"/>
        </w:numPr>
        <w:spacing w:after="140" w:line="268"/>
      </w:pPr>
      <w:r>
        <w:rPr>
          <w:rFonts w:ascii="Calibri" w:cs="Calibri" w:eastAsia="Calibri" w:hAnsi="Calibri"/>
          <w:b/>
          <w:bCs/>
          <w:color w:val="0B4F3C"/>
          <w:sz w:val="21"/>
          <w:szCs w:val="21"/>
        </w:rPr>
        <w:t xml:space="preserve">K-Rail / SilverLine Lesson (Survey Stone Opposition &amp; Information Vacuum):</w:t>
      </w:r>
      <w:r>
        <w:rPr>
          <w:rFonts w:ascii="Calibri" w:cs="Calibri" w:eastAsia="Calibri" w:hAnsi="Calibri"/>
          <w:color w:val="1F2421"/>
          <w:sz w:val="21"/>
          <w:szCs w:val="21"/>
        </w:rPr>
        <w:t xml:space="preserve"> Rule 2 (Radical Disclosure): Parcel-level maps, valuation tables, and interactive pooling calculators are published online before enrolment opens. The first serviced-land demonstration block is delivered within 36 months.</w:t>
      </w:r>
    </w:p>
    <w:p>
      <w:pPr>
        <w:pStyle w:val="ListParagraph"/>
        <w:numPr>
          <w:ilvl w:val="0"/>
          <w:numId w:val="10"/>
        </w:numPr>
        <w:spacing w:after="140" w:line="268"/>
      </w:pPr>
      <w:r>
        <w:rPr>
          <w:rFonts w:ascii="Calibri" w:cs="Calibri" w:eastAsia="Calibri" w:hAnsi="Calibri"/>
          <w:b/>
          <w:bCs/>
          <w:color w:val="0B4F3C"/>
          <w:sz w:val="21"/>
          <w:szCs w:val="21"/>
        </w:rPr>
        <w:t xml:space="preserve">Seaport-Airport Road Phase 2 Lesson (Multi-Agency Friction &amp; Unfunded Utility Shifts):</w:t>
      </w:r>
      <w:r>
        <w:rPr>
          <w:rFonts w:ascii="Calibri" w:cs="Calibri" w:eastAsia="Calibri" w:hAnsi="Calibri"/>
          <w:color w:val="1F2421"/>
          <w:sz w:val="21"/>
          <w:szCs w:val="21"/>
        </w:rPr>
        <w:t xml:space="preserve"> Rule 3 (Single SPV): K-GBA holds every interface contract. Utility shifting is executed as a pre-construction package with its own completion gate.</w:t>
      </w:r>
    </w:p>
    <w:p>
      <w:pPr>
        <w:pStyle w:val="ListParagraph"/>
        <w:numPr>
          <w:ilvl w:val="0"/>
          <w:numId w:val="10"/>
        </w:numPr>
        <w:spacing w:after="140" w:line="268"/>
      </w:pPr>
      <w:r>
        <w:rPr>
          <w:rFonts w:ascii="Calibri" w:cs="Calibri" w:eastAsia="Calibri" w:hAnsi="Calibri"/>
          <w:b/>
          <w:bCs/>
          <w:color w:val="0B4F3C"/>
          <w:sz w:val="21"/>
          <w:szCs w:val="21"/>
        </w:rPr>
        <w:t xml:space="preserve">GIFT City Ayyampuzha Lesson (Speculative Assembly Front-Running Acquisition):</w:t>
      </w:r>
      <w:r>
        <w:rPr>
          <w:rFonts w:ascii="Calibri" w:cs="Calibri" w:eastAsia="Calibri" w:hAnsi="Calibri"/>
          <w:color w:val="1F2421"/>
          <w:sz w:val="21"/>
          <w:szCs w:val="21"/>
        </w:rPr>
        <w:t xml:space="preserve"> Rule 4 (Silence-Then-Freeze): Development-permission freeze overlays are applied simultaneously with the first public announcement.</w:t>
      </w:r>
    </w:p>
    <w:p>
      <w:pPr>
        <w:pStyle w:val="Heading2"/>
        <w:spacing w:after="160" w:before="320"/>
      </w:pPr>
      <w:r>
        <w:rPr>
          <w:rFonts w:ascii="Calibri" w:cs="Calibri" w:eastAsia="Calibri" w:hAnsi="Calibri"/>
          <w:b/>
          <w:bCs/>
          <w:color w:val="146C4F"/>
          <w:sz w:val="25"/>
          <w:szCs w:val="25"/>
        </w:rPr>
        <w:t xml:space="preserve">10.5  Risk Matrix &amp; Statutory Mitigation Framework</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057"/>
        <w:gridCol w:w="1029"/>
        <w:gridCol w:w="1122"/>
        <w:gridCol w:w="5143"/>
      </w:tblGrid>
      <w:tr>
        <w:trPr>
          <w:tblHeader/>
        </w:trPr>
        <w:tc>
          <w:tcPr>
            <w:tcW w:type="dxa" w:w="2057"/>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Risk Factor</w:t>
            </w:r>
          </w:p>
        </w:tc>
        <w:tc>
          <w:tcPr>
            <w:tcW w:type="dxa" w:w="1029"/>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Severity</w:t>
            </w:r>
          </w:p>
        </w:tc>
        <w:tc>
          <w:tcPr>
            <w:tcW w:type="dxa" w:w="1122"/>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Likelihood</w:t>
            </w:r>
          </w:p>
        </w:tc>
        <w:tc>
          <w:tcPr>
            <w:tcW w:type="dxa" w:w="5143"/>
            <w:tcBorders>
              <w:top w:val="single" w:color="0B4F3C" w:sz="4"/>
              <w:left w:val="single" w:color="0B4F3C" w:sz="4"/>
              <w:bottom w:val="single" w:color="0B4F3C" w:sz="4"/>
              <w:right w:val="single" w:color="0B4F3C" w:sz="4"/>
            </w:tcBorders>
            <w:shd w:fill="0B4F3C" w:val="clear"/>
            <w:tcMar>
              <w:top w:type="dxa" w:w="90"/>
              <w:left w:type="dxa" w:w="110"/>
              <w:bottom w:type="dxa" w:w="90"/>
              <w:right w:type="dxa" w:w="110"/>
            </w:tcMar>
            <w:vAlign w:val="center"/>
          </w:tcPr>
          <w:p>
            <w:pPr>
              <w:spacing w:after="40" w:line="250"/>
            </w:pPr>
            <w:r>
              <w:rPr>
                <w:rFonts w:ascii="Calibri" w:cs="Calibri" w:eastAsia="Calibri" w:hAnsi="Calibri"/>
                <w:b/>
                <w:bCs/>
                <w:i w:val="false"/>
                <w:iCs w:val="false"/>
                <w:color w:val="FFFFFF"/>
                <w:sz w:val="18"/>
                <w:szCs w:val="18"/>
              </w:rPr>
              <w:t xml:space="preserve">Primary Statutory Mitigation Mechanism</w:t>
            </w:r>
          </w:p>
        </w:tc>
      </w:tr>
      <w:tr>
        <w:tc>
          <w:tcPr>
            <w:tcW w:type="dxa" w:w="2057"/>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12-Month Section 3(D) Statutory Lapse</w:t>
            </w:r>
          </w:p>
        </w:tc>
        <w:tc>
          <w:tcPr>
            <w:tcW w:type="dxa" w:w="102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9B2C2C"/>
                <w:sz w:val="18"/>
                <w:szCs w:val="18"/>
              </w:rPr>
              <w:t xml:space="preserve">CRITICAL</w:t>
            </w:r>
          </w:p>
        </w:tc>
        <w:tc>
          <w:tcPr>
            <w:tcW w:type="dxa" w:w="1122"/>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Medium</w:t>
            </w:r>
          </w:p>
        </w:tc>
        <w:tc>
          <w:tcPr>
            <w:tcW w:type="dxa" w:w="514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Tranche-1 CALA surge staffing; segment-sequenced file pipeline (3→1→2→4→5); Month-9 internal deadline with 3-month litigation buffer</w:t>
            </w:r>
          </w:p>
        </w:tc>
      </w:tr>
      <w:tr>
        <w:tc>
          <w:tcPr>
            <w:tcW w:type="dxa" w:w="2057"/>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Local Compensation Holdouts &amp; Agitation</w:t>
            </w:r>
          </w:p>
        </w:tc>
        <w:tc>
          <w:tcPr>
            <w:tcW w:type="dxa" w:w="1029"/>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9B2C2C"/>
                <w:sz w:val="18"/>
                <w:szCs w:val="18"/>
              </w:rPr>
              <w:t xml:space="preserve">CRITICAL</w:t>
            </w:r>
          </w:p>
        </w:tc>
        <w:tc>
          <w:tcPr>
            <w:tcW w:type="dxa" w:w="1122"/>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Moderate</w:t>
            </w:r>
          </w:p>
        </w:tc>
        <w:tc>
          <w:tcPr>
            <w:tcW w:type="dxa" w:w="5143"/>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Statutory floor-price put option (5.1) removes downside risk; 60/55 dual threshold prevents micro-veto; dwelling-band vacation-after-delivery sequencing</w:t>
            </w:r>
          </w:p>
        </w:tc>
      </w:tr>
      <w:tr>
        <w:tc>
          <w:tcPr>
            <w:tcW w:type="dxa" w:w="2057"/>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Soil Instability (Kumbalam–Aroor Marine Clays)</w:t>
            </w:r>
          </w:p>
        </w:tc>
        <w:tc>
          <w:tcPr>
            <w:tcW w:type="dxa" w:w="102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9C6B12"/>
                <w:sz w:val="18"/>
                <w:szCs w:val="18"/>
              </w:rPr>
              <w:t xml:space="preserve">HIGH</w:t>
            </w:r>
          </w:p>
        </w:tc>
        <w:tc>
          <w:tcPr>
            <w:tcW w:type="dxa" w:w="1122"/>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High</w:t>
            </w:r>
          </w:p>
        </w:tc>
        <w:tc>
          <w:tcPr>
            <w:tcW w:type="dxa" w:w="514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PVD/stone-column ground improvement tendered first in Tranche 4; piled structures to competent strata; independent geotechnical proof-checking</w:t>
            </w:r>
          </w:p>
        </w:tc>
      </w:tr>
      <w:tr>
        <w:tc>
          <w:tcPr>
            <w:tcW w:type="dxa" w:w="2057"/>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Wetland / Paddy Land Act Litigation</w:t>
            </w:r>
          </w:p>
        </w:tc>
        <w:tc>
          <w:tcPr>
            <w:tcW w:type="dxa" w:w="1029"/>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9C6B12"/>
                <w:sz w:val="18"/>
                <w:szCs w:val="18"/>
              </w:rPr>
              <w:t xml:space="preserve">HIGH</w:t>
            </w:r>
          </w:p>
        </w:tc>
        <w:tc>
          <w:tcPr>
            <w:tcW w:type="dxa" w:w="1122"/>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High</w:t>
            </w:r>
          </w:p>
        </w:tc>
        <w:tc>
          <w:tcPr>
            <w:tcW w:type="dxa" w:w="5143"/>
            <w:tcBorders>
              <w:top w:val="single" w:color="C9D2CD" w:sz="4"/>
              <w:left w:val="single" w:color="C9D2CD" w:sz="4"/>
              <w:bottom w:val="single" w:color="C9D2CD" w:sz="4"/>
              <w:right w:val="single" w:color="C9D2CD" w:sz="4"/>
            </w:tcBorders>
            <w:shd w:fill="EAF3E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Statutory amendment enabling conversion within designated TOD nodes; Transferable Development Rights (TDR) certificates issued to Ghats/wetland owners redeemable for high FSI</w:t>
            </w:r>
          </w:p>
        </w:tc>
      </w:tr>
      <w:tr>
        <w:tc>
          <w:tcPr>
            <w:tcW w:type="dxa" w:w="2057"/>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1F2421"/>
                <w:sz w:val="18"/>
                <w:szCs w:val="18"/>
              </w:rPr>
              <w:t xml:space="preserve">Political Transition Discontinuity (2026–2031)</w:t>
            </w:r>
          </w:p>
        </w:tc>
        <w:tc>
          <w:tcPr>
            <w:tcW w:type="dxa" w:w="1029"/>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bCs/>
                <w:i w:val="false"/>
                <w:iCs w:val="false"/>
                <w:color w:val="9C6B12"/>
                <w:sz w:val="18"/>
                <w:szCs w:val="18"/>
              </w:rPr>
              <w:t xml:space="preserve">HIGH</w:t>
            </w:r>
          </w:p>
        </w:tc>
        <w:tc>
          <w:tcPr>
            <w:tcW w:type="dxa" w:w="1122"/>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Moderate</w:t>
            </w:r>
          </w:p>
        </w:tc>
        <w:tc>
          <w:tcPr>
            <w:tcW w:type="dxa" w:w="5143"/>
            <w:tcBorders>
              <w:top w:val="single" w:color="C9D2CD" w:sz="4"/>
              <w:left w:val="single" w:color="C9D2CD" w:sz="4"/>
              <w:bottom w:val="single" w:color="C9D2CD" w:sz="4"/>
              <w:right w:val="single" w:color="C9D2CD" w:sz="4"/>
            </w:tcBorders>
            <w:shd w:fill="FFFFFF" w:val="clear"/>
            <w:tcMar>
              <w:top w:type="dxa" w:w="80"/>
              <w:left w:type="dxa" w:w="110"/>
              <w:bottom w:type="dxa" w:w="80"/>
              <w:right w:type="dxa" w:w="110"/>
            </w:tcMar>
            <w:vAlign w:val="center"/>
          </w:tcPr>
          <w:p>
            <w:pPr>
              <w:spacing w:after="40" w:line="250"/>
            </w:pPr>
            <w:r>
              <w:rPr>
                <w:rFonts w:ascii="Calibri" w:cs="Calibri" w:eastAsia="Calibri" w:hAnsi="Calibri"/>
                <w:b w:val="false"/>
                <w:bCs w:val="false"/>
                <w:i w:val="false"/>
                <w:iCs w:val="false"/>
                <w:color w:val="1F2421"/>
                <w:sz w:val="18"/>
                <w:szCs w:val="18"/>
              </w:rPr>
              <w:t xml:space="preserve">Statutory architecture — thresholds, floor prices, and timelines locked in the Act; 20% citizen-equity float creates a mass shareholder constituency</w:t>
            </w:r>
          </w:p>
        </w:tc>
      </w:tr>
    </w:tbl>
    <w:p>
      <w:r>
        <w:br w:type="page"/>
      </w:r>
    </w:p>
    <w:p>
      <w:pPr>
        <w:pStyle w:val="Heading1"/>
        <w:pBdr>
          <w:bottom w:val="single" w:color="B08D2E" w:sz="12" w:space="6"/>
        </w:pBdr>
        <w:spacing w:after="240" w:before="480"/>
      </w:pPr>
      <w:r>
        <w:rPr>
          <w:rFonts w:ascii="Calibri" w:cs="Calibri" w:eastAsia="Calibri" w:hAnsi="Calibri"/>
          <w:b/>
          <w:bCs/>
          <w:color w:val="B08D2E"/>
          <w:sz w:val="22"/>
          <w:szCs w:val="22"/>
        </w:rPr>
        <w:t xml:space="preserve"/>
      </w:r>
      <w:r>
        <w:rPr>
          <w:rFonts w:ascii="Calibri" w:cs="Calibri" w:eastAsia="Calibri" w:hAnsi="Calibri"/>
          <w:b/>
          <w:bCs/>
          <w:color w:val="0B4F3C"/>
          <w:sz w:val="30"/>
          <w:szCs w:val="30"/>
        </w:rPr>
        <w:t xml:space="preserve">Closing Note to Cabinet</w:t>
      </w:r>
    </w:p>
    <w:p>
      <w:pPr>
        <w:spacing w:after="160" w:before="0" w:line="276"/>
      </w:pPr>
      <w:r>
        <w:rPr>
          <w:rFonts w:ascii="Calibri" w:cs="Calibri" w:eastAsia="Calibri" w:hAnsi="Calibri"/>
          <w:color w:val="1F2421"/>
          <w:sz w:val="21"/>
          <w:szCs w:val="21"/>
        </w:rPr>
        <w:t xml:space="preserve">The Government of Kerala holds, for approximately nine more months, an unprecedented statutory opportunity: a 100% Central-funded land acquisition on a corridor that coincides with the district's last developable crescent.</w:t>
      </w:r>
    </w:p>
    <w:p>
      <w:pPr>
        <w:spacing w:after="160" w:before="0" w:line="276"/>
      </w:pPr>
      <w:r>
        <w:rPr>
          <w:rFonts w:ascii="Calibri" w:cs="Calibri" w:eastAsia="Calibri" w:hAnsi="Calibri"/>
          <w:color w:val="1F2421"/>
          <w:sz w:val="21"/>
          <w:szCs w:val="21"/>
        </w:rPr>
        <w:t xml:space="preserve">By enacting the Citizen-Equity Land Pooling Act, uncapping FSI inside high-density TOD nodes, and deploying off-balance-sheet Pravasi Bonds and CIPCs, the State can construct the ₹6,935.60 Crore Kochi Outer Ring Road and Regional Transit Grid. This blueprint reduces treasury cash outlays from ₹2,067.24 Crore to ₹520 Crore, protects surrounding wetlands, and establishes a self-funding transit and industrial foundation for the Ernakulam Metropolitan Region toward 2047.</w:t>
      </w:r>
    </w:p>
    <w:p>
      <w:pPr>
        <w:spacing w:after="300"/>
      </w:pPr>
    </w:p>
    <w:p>
      <w:pPr>
        <w:pBdr>
          <w:top w:val="single" w:color="C9D2CD" w:sz="8" w:space="8"/>
        </w:pBdr>
        <w:spacing w:before="200"/>
      </w:pPr>
      <w:r>
        <w:rPr>
          <w:rFonts w:ascii="Calibri" w:cs="Calibri" w:eastAsia="Calibri" w:hAnsi="Calibri"/>
          <w:i/>
          <w:iCs/>
          <w:color w:val="5B6763"/>
          <w:sz w:val="16"/>
          <w:szCs w:val="16"/>
        </w:rPr>
        <w:t xml:space="preserve">This document is a research report prepared and published by KeralaFirst (keralafirst.co.in) for policy discussion and planning purposes. Figures are drawn from the underlying project notification, budget and GIS analysis referenced herein and are presented for strategic and educational use.</w:t>
      </w:r>
    </w:p>
    <w:sectPr>
      <w:headerReference w:type="default" r:id="rId7"/>
      <w:footerReference w:type="default" r:id="rId8"/>
      <w:pgSz w:w="12240" w:h="15840" w:orient="portrait"/>
      <w:pgMar w:top="1350" w:right="1080" w:bottom="1100" w:left="1080" w:header="620" w:footer="6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2CD" w:sz="6" w:space="4"/>
      </w:pBdr>
      <w:tabs>
        <w:tab w:val="right" w:pos="9026"/>
      </w:tabs>
    </w:pPr>
    <w:r>
      <w:rPr>
        <w:rFonts w:ascii="Calibri" w:cs="Calibri" w:eastAsia="Calibri" w:hAnsi="Calibri"/>
        <w:color w:val="5B6763"/>
        <w:sz w:val="14"/>
        <w:szCs w:val="14"/>
      </w:rPr>
      <w:t xml:space="preserve">© 2026 KeralaFirst  ·  keralafirst.co.in  ·  Research Report — Not for Unauthorised Redistribution</w:t>
    </w:r>
    <w:r>
      <w:rPr>
        <w:sz w:val="14"/>
        <w:szCs w:val="14"/>
      </w:rPr>
      <w:t xml:space="preserve">	</w:t>
    </w:r>
    <w:r>
      <w:rPr>
        <w:rFonts w:ascii="Calibri" w:cs="Calibri" w:eastAsia="Calibri" w:hAnsi="Calibri"/>
        <w:color w:val="5B6763"/>
        <w:sz w:val="14"/>
        <w:szCs w:val="14"/>
      </w:rPr>
      <w:t xml:space="preserve">Page </w:t>
    </w:r>
    <w:r>
      <w:rPr>
        <w:rFonts w:ascii="Calibri" w:cs="Calibri" w:eastAsia="Calibri" w:hAnsi="Calibri"/>
        <w:color w:val="5B6763"/>
        <w:sz w:val="14"/>
        <w:szCs w:val="14"/>
      </w:rPr>
      <w:fldChar w:fldCharType="begin"/>
      <w:instrText xml:space="preserve">PAGE</w:instrText>
      <w:fldChar w:fldCharType="separate"/>
      <w:fldChar w:fldCharType="end"/>
    </w:r>
    <w:r>
      <w:rPr>
        <w:rFonts w:ascii="Calibri" w:cs="Calibri" w:eastAsia="Calibri" w:hAnsi="Calibri"/>
        <w:color w:val="5B6763"/>
        <w:sz w:val="14"/>
        <w:szCs w:val="14"/>
      </w:rPr>
      <w:t xml:space="preserve"> of </w:t>
    </w:r>
    <w:r>
      <w:rPr>
        <w:rFonts w:ascii="Calibri" w:cs="Calibri" w:eastAsia="Calibri" w:hAnsi="Calibri"/>
        <w:color w:val="5B6763"/>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700"/>
      <w:gridCol w:w="4650"/>
    </w:tblGrid>
    <w:tr>
      <w:tc>
        <w:tcPr>
          <w:tcW w:type="dxa" w:w="4700"/>
          <w:tcBorders>
            <w:top w:val="single" w:color="FFFFFF" w:sz="4"/>
            <w:left w:val="single" w:color="FFFFFF" w:sz="4"/>
            <w:bottom w:val="single" w:color="FFFFFF" w:sz="4"/>
            <w:right w:val="single" w:color="FFFFFF" w:sz="4"/>
          </w:tcBorders>
          <w:tcMar>
            <w:bottom w:type="dxa" w:w="60"/>
          </w:tcMar>
        </w:tcPr>
        <w:p>
          <w:r>
            <w:rPr>
              <w:rFonts w:ascii="Calibri" w:cs="Calibri" w:eastAsia="Calibri" w:hAnsi="Calibri"/>
              <w:b/>
              <w:bCs/>
              <w:color w:val="0B4F3C"/>
              <w:sz w:val="20"/>
              <w:szCs w:val="20"/>
            </w:rPr>
            <w:t xml:space="preserve">KERALAFIRST</w:t>
          </w:r>
          <w:r>
            <w:rPr>
              <w:rFonts w:ascii="Calibri" w:cs="Calibri" w:eastAsia="Calibri" w:hAnsi="Calibri"/>
              <w:b/>
              <w:bCs/>
              <w:color w:val="B08D2E"/>
              <w:sz w:val="20"/>
              <w:szCs w:val="20"/>
            </w:rPr>
            <w:t xml:space="preserve">.CO.IN</w:t>
          </w:r>
        </w:p>
      </w:tc>
      <w:tc>
        <w:tcPr>
          <w:tcW w:type="dxa" w:w="4650"/>
          <w:tcBorders>
            <w:top w:val="single" w:color="FFFFFF" w:sz="4"/>
            <w:left w:val="single" w:color="FFFFFF" w:sz="4"/>
            <w:bottom w:val="single" w:color="FFFFFF" w:sz="4"/>
            <w:right w:val="single" w:color="FFFFFF" w:sz="4"/>
          </w:tcBorders>
          <w:tcMar>
            <w:bottom w:type="dxa" w:w="60"/>
          </w:tcMar>
        </w:tcPr>
        <w:p>
          <w:pPr>
            <w:jc w:val="right"/>
          </w:pPr>
          <w:r>
            <w:rPr>
              <w:rFonts w:ascii="Calibri" w:cs="Calibri" w:eastAsia="Calibri" w:hAnsi="Calibri"/>
              <w:b/>
              <w:bCs/>
              <w:color w:val="5B6763"/>
              <w:sz w:val="15"/>
              <w:szCs w:val="15"/>
            </w:rPr>
            <w:t xml:space="preserve">RESEARCH REPORT  ·  POLICY &amp; URBAN STRATEGY DESK</w:t>
          </w:r>
        </w:p>
      </w:tc>
    </w:tr>
  </w:tbl>
  <w:p>
    <w:pPr>
      <w:pBdr>
        <w:bottom w:val="single" w:color="B08D2E" w:sz="8" w:space="4"/>
      </w:pBdr>
      <w:spacing w:after="0"/>
    </w:pPr>
    <w:r>
      <w:rPr>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rPr>
        <w:color w:val="B08D2E"/>
      </w:rPr>
    </w:lvl>
  </w:abstractNum>
  <w:abstractNum w:abstractNumId="3" w15:restartNumberingAfterBreak="0">
    <w:multiLevelType w:val="hybridMultilevel"/>
    <w:lvl w:ilvl="0" w15:tentative="1">
      <w:start w:val="1"/>
      <w:numFmt w:val="decimal"/>
      <w:lvlText w:val="%1."/>
      <w:lvlJc w:val="left"/>
      <w:pPr>
        <w:ind w:left="504" w:hanging="360"/>
      </w:pPr>
    </w:lvl>
  </w:abstractNum>
  <w:abstractNum w:abstractNumId="4" w15:restartNumberingAfterBreak="0">
    <w:multiLevelType w:val="hybridMultilevel"/>
    <w:lvl w:ilvl="0" w15:tentative="1">
      <w:start w:val="1"/>
      <w:numFmt w:val="decimal"/>
      <w:lvlText w:val="%1."/>
      <w:lvlJc w:val="left"/>
      <w:pPr>
        <w:ind w:left="504" w:hanging="360"/>
      </w:pPr>
    </w:lvl>
  </w:abstractNum>
  <w:abstractNum w:abstractNumId="5" w15:restartNumberingAfterBreak="0">
    <w:multiLevelType w:val="hybridMultilevel"/>
    <w:lvl w:ilvl="0" w15:tentative="1">
      <w:start w:val="1"/>
      <w:numFmt w:val="decimal"/>
      <w:lvlText w:val="%1."/>
      <w:lvlJc w:val="left"/>
      <w:pPr>
        <w:ind w:left="504" w:hanging="360"/>
      </w:pPr>
    </w:lvl>
  </w:abstractNum>
  <w:abstractNum w:abstractNumId="6" w15:restartNumberingAfterBreak="0">
    <w:multiLevelType w:val="hybridMultilevel"/>
    <w:lvl w:ilvl="0" w15:tentative="1">
      <w:start w:val="1"/>
      <w:numFmt w:val="decimal"/>
      <w:lvlText w:val="%1."/>
      <w:lvlJc w:val="left"/>
      <w:pPr>
        <w:ind w:left="504" w:hanging="360"/>
      </w:pPr>
    </w:lvl>
  </w:abstractNum>
  <w:abstractNum w:abstractNumId="7" w15:restartNumberingAfterBreak="0">
    <w:multiLevelType w:val="hybridMultilevel"/>
    <w:lvl w:ilvl="0" w15:tentative="1">
      <w:start w:val="1"/>
      <w:numFmt w:val="decimal"/>
      <w:lvlText w:val="%1."/>
      <w:lvlJc w:val="left"/>
      <w:pPr>
        <w:ind w:left="504" w:hanging="360"/>
      </w:pPr>
    </w:lvl>
  </w:abstractNum>
  <w:abstractNum w:abstractNumId="8" w15:restartNumberingAfterBreak="0">
    <w:multiLevelType w:val="hybridMultilevel"/>
    <w:lvl w:ilvl="0" w15:tentative="1">
      <w:start w:val="1"/>
      <w:numFmt w:val="decimal"/>
      <w:lvlText w:val="%1."/>
      <w:lvlJc w:val="left"/>
      <w:pPr>
        <w:ind w:left="504" w:hanging="360"/>
      </w:pPr>
    </w:lvl>
  </w:abstractNum>
  <w:abstractNum w:abstractNumId="9" w15:restartNumberingAfterBreak="0">
    <w:multiLevelType w:val="hybridMultilevel"/>
    <w:lvl w:ilvl="0" w15:tentative="1">
      <w:start w:val="1"/>
      <w:numFmt w:val="decimal"/>
      <w:lvlText w:val="%1."/>
      <w:lvlJc w:val="left"/>
      <w:pPr>
        <w:ind w:left="504" w:hanging="360"/>
      </w:pPr>
    </w:lvl>
  </w:abstractNum>
  <w:abstractNum w:abstractNumId="10" w15:restartNumberingAfterBreak="0">
    <w:multiLevelType w:val="hybridMultilevel"/>
    <w:lvl w:ilvl="0" w15:tentative="1">
      <w:start w:val="1"/>
      <w:numFmt w:val="decimal"/>
      <w:lvlText w:val="%1."/>
      <w:lvlJc w:val="left"/>
      <w:pPr>
        <w:ind w:left="504" w:hanging="360"/>
      </w:pPr>
    </w:lvl>
  </w:abstractNum>
  <w:abstractNum w:abstractNumId="11" w15:restartNumberingAfterBreak="0">
    <w:multiLevelType w:val="hybridMultilevel"/>
    <w:lvl w:ilvl="0" w15:tentative="1">
      <w:start w:val="1"/>
      <w:numFmt w:val="decimal"/>
      <w:lvlText w:val="%1."/>
      <w:lvlJc w:val="left"/>
      <w:pPr>
        <w:ind w:left="504"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 w:numId="8">
    <w:abstractNumId w:val="9"/>
    <w:lvlOverride w:ilvl="0">
      <w:startOverride w:val="1"/>
    </w:lvlOverride>
  </w:num>
  <w:num w:numId="9">
    <w:abstractNumId w:val="10"/>
    <w:lvlOverride w:ilvl="0">
      <w:startOverride w:val="1"/>
    </w:lvlOverride>
  </w:num>
  <w:num w:numId="10">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42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2026-08-14T06:55:19.034Z</dcterms:created>
  <dcterms:modified xsi:type="dcterms:W3CDTF">2026-08-14T06:55:19.035Z</dcterms:modified>
</cp:coreProperties>
</file>

<file path=docProps/custom.xml><?xml version="1.0" encoding="utf-8"?>
<Properties xmlns="http://schemas.openxmlformats.org/officeDocument/2006/custom-properties" xmlns:vt="http://schemas.openxmlformats.org/officeDocument/2006/docPropsVTypes"/>
</file>